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1545836"/>
        <w:docPartObj>
          <w:docPartGallery w:val="Cover Pages"/>
          <w:docPartUnique/>
        </w:docPartObj>
      </w:sdtPr>
      <w:sdtEndPr>
        <w:rPr>
          <w:rFonts w:eastAsia="Calibri" w:cstheme="minorHAnsi"/>
          <w:b/>
          <w:sz w:val="32"/>
          <w:szCs w:val="32"/>
          <w:lang w:eastAsia="en-US"/>
        </w:rPr>
      </w:sdtEndPr>
      <w:sdtContent>
        <w:bookmarkStart w:id="0" w:name="_GoBack" w:displacedByCustomXml="prev"/>
        <w:bookmarkEnd w:id="0" w:displacedByCustomXml="prev"/>
        <w:p w:rsidR="008B75B6" w:rsidRPr="008B75B6" w:rsidRDefault="00D92C55" w:rsidP="005E2A70">
          <w:pPr>
            <w:jc w:val="center"/>
          </w:pPr>
          <w:r>
            <w:rPr>
              <w:rFonts w:eastAsia="Calibri" w:cstheme="minorHAnsi"/>
              <w:b/>
              <w:noProof/>
              <w:sz w:val="32"/>
              <w:szCs w:val="32"/>
              <w:lang w:eastAsia="en-US"/>
            </w:rPr>
            <w:drawing>
              <wp:inline distT="0" distB="0" distL="0" distR="0">
                <wp:extent cx="1389888" cy="1389888"/>
                <wp:effectExtent l="0" t="0" r="1270" b="1270"/>
                <wp:docPr id="3" name="Picture 3" descr="C:\Users\alfonsec\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onsec\AppData\Local\Microsoft\Windows\INetCache\Content.Word\downloa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9888" cy="1389888"/>
                        </a:xfrm>
                        <a:prstGeom prst="rect">
                          <a:avLst/>
                        </a:prstGeom>
                        <a:noFill/>
                        <a:ln>
                          <a:noFill/>
                        </a:ln>
                      </pic:spPr>
                    </pic:pic>
                  </a:graphicData>
                </a:graphic>
              </wp:inline>
            </w:drawing>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8B75B6" w:rsidRPr="008B75B6" w:rsidTr="008B75B6">
            <w:tc>
              <w:tcPr>
                <w:tcW w:w="7672" w:type="dxa"/>
                <w:tcBorders>
                  <w:left w:val="single" w:sz="12" w:space="0" w:color="auto"/>
                </w:tcBorders>
                <w:tcMar>
                  <w:top w:w="216" w:type="dxa"/>
                  <w:left w:w="115" w:type="dxa"/>
                  <w:bottom w:w="216" w:type="dxa"/>
                  <w:right w:w="115" w:type="dxa"/>
                </w:tcMar>
              </w:tcPr>
              <w:p w:rsidR="008B75B6" w:rsidRPr="008B75B6" w:rsidRDefault="008B75B6">
                <w:pPr>
                  <w:pStyle w:val="NoSpacing"/>
                  <w:rPr>
                    <w:sz w:val="24"/>
                  </w:rPr>
                </w:pPr>
              </w:p>
            </w:tc>
          </w:tr>
          <w:tr w:rsidR="008B75B6" w:rsidRPr="008B75B6" w:rsidTr="008B75B6">
            <w:tc>
              <w:tcPr>
                <w:tcW w:w="7672" w:type="dxa"/>
                <w:tcBorders>
                  <w:left w:val="single" w:sz="12" w:space="0" w:color="auto"/>
                </w:tcBorders>
              </w:tcPr>
              <w:p w:rsidR="008B75B6" w:rsidRPr="008B75B6" w:rsidRDefault="008B75B6" w:rsidP="008B75B6">
                <w:pPr>
                  <w:pStyle w:val="NoSpacing"/>
                  <w:spacing w:line="216" w:lineRule="auto"/>
                  <w:rPr>
                    <w:rFonts w:asciiTheme="majorHAnsi" w:eastAsiaTheme="majorEastAsia" w:hAnsiTheme="majorHAnsi" w:cstheme="majorBidi"/>
                    <w:sz w:val="88"/>
                    <w:szCs w:val="88"/>
                  </w:rPr>
                </w:pPr>
                <w:r>
                  <w:rPr>
                    <w:rFonts w:asciiTheme="majorHAnsi" w:eastAsiaTheme="majorEastAsia" w:hAnsiTheme="majorHAnsi" w:cstheme="majorBidi"/>
                    <w:sz w:val="88"/>
                    <w:szCs w:val="88"/>
                  </w:rPr>
                  <w:t>National Security Agency</w:t>
                </w:r>
              </w:p>
            </w:tc>
          </w:tr>
          <w:tr w:rsidR="008B75B6" w:rsidRPr="008B75B6" w:rsidTr="008B75B6">
            <w:sdt>
              <w:sdtPr>
                <w:rPr>
                  <w:sz w:val="48"/>
                  <w:szCs w:val="24"/>
                </w:rPr>
                <w:alias w:val="Subtitle"/>
                <w:id w:val="13406923"/>
                <w:placeholder>
                  <w:docPart w:val="C5E9C9160EE3454AB50B96644D957E85"/>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Borders>
                      <w:left w:val="single" w:sz="12" w:space="0" w:color="auto"/>
                      <w:bottom w:val="single" w:sz="12" w:space="0" w:color="auto"/>
                    </w:tcBorders>
                    <w:tcMar>
                      <w:top w:w="216" w:type="dxa"/>
                      <w:left w:w="115" w:type="dxa"/>
                      <w:bottom w:w="216" w:type="dxa"/>
                      <w:right w:w="115" w:type="dxa"/>
                    </w:tcMar>
                  </w:tcPr>
                  <w:p w:rsidR="008B75B6" w:rsidRPr="008B75B6" w:rsidRDefault="008B75B6" w:rsidP="008B75B6">
                    <w:pPr>
                      <w:pStyle w:val="NoSpacing"/>
                      <w:rPr>
                        <w:sz w:val="48"/>
                      </w:rPr>
                    </w:pPr>
                    <w:r w:rsidRPr="008B75B6">
                      <w:rPr>
                        <w:sz w:val="48"/>
                        <w:szCs w:val="24"/>
                      </w:rPr>
                      <w:t>Emerging Threat Data Packet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8B75B6" w:rsidRPr="008B75B6">
            <w:tc>
              <w:tcPr>
                <w:tcW w:w="7221" w:type="dxa"/>
                <w:tcMar>
                  <w:top w:w="216" w:type="dxa"/>
                  <w:left w:w="115" w:type="dxa"/>
                  <w:bottom w:w="216" w:type="dxa"/>
                  <w:right w:w="115" w:type="dxa"/>
                </w:tcMar>
              </w:tcPr>
              <w:p w:rsidR="008B75B6" w:rsidRPr="008B75B6" w:rsidRDefault="008B75B6" w:rsidP="008B75B6">
                <w:pPr>
                  <w:pStyle w:val="NoSpacing"/>
                  <w:rPr>
                    <w:sz w:val="28"/>
                    <w:szCs w:val="28"/>
                  </w:rPr>
                </w:pPr>
              </w:p>
            </w:tc>
          </w:tr>
        </w:tbl>
        <w:p w:rsidR="008B75B6" w:rsidRPr="008B75B6" w:rsidRDefault="008B75B6">
          <w:pPr>
            <w:rPr>
              <w:rFonts w:eastAsia="Calibri" w:cstheme="minorHAnsi"/>
              <w:b/>
              <w:sz w:val="32"/>
              <w:szCs w:val="32"/>
              <w:lang w:eastAsia="en-US"/>
            </w:rPr>
          </w:pPr>
          <w:r w:rsidRPr="008B75B6">
            <w:rPr>
              <w:rFonts w:eastAsia="Calibri" w:cstheme="minorHAnsi"/>
              <w:b/>
              <w:sz w:val="32"/>
              <w:szCs w:val="32"/>
              <w:lang w:eastAsia="en-US"/>
            </w:rPr>
            <w:br w:type="page"/>
          </w:r>
        </w:p>
      </w:sdtContent>
    </w:sdt>
    <w:p w:rsidR="002639AF" w:rsidRPr="008B75B6" w:rsidRDefault="002639AF" w:rsidP="002639AF">
      <w:pPr>
        <w:jc w:val="center"/>
        <w:rPr>
          <w:rFonts w:eastAsia="Calibri" w:cstheme="minorHAnsi"/>
          <w:b/>
          <w:sz w:val="32"/>
          <w:szCs w:val="32"/>
          <w:lang w:eastAsia="en-US"/>
        </w:rPr>
      </w:pPr>
      <w:r w:rsidRPr="008B75B6">
        <w:rPr>
          <w:rFonts w:eastAsia="Calibri" w:cstheme="minorHAnsi"/>
          <w:b/>
          <w:sz w:val="32"/>
          <w:szCs w:val="32"/>
          <w:lang w:eastAsia="en-US"/>
        </w:rPr>
        <w:lastRenderedPageBreak/>
        <w:t>NATIONAL SECURITY AGENCY DATA PACKET</w:t>
      </w:r>
    </w:p>
    <w:p w:rsidR="002639AF" w:rsidRPr="008B75B6" w:rsidRDefault="005D5C7C" w:rsidP="002639AF">
      <w:pPr>
        <w:rPr>
          <w:rFonts w:eastAsia="Calibri" w:cstheme="minorHAnsi"/>
          <w:sz w:val="24"/>
          <w:szCs w:val="24"/>
          <w:lang w:eastAsia="en-US"/>
        </w:rPr>
      </w:pPr>
      <w:r w:rsidRPr="008B75B6">
        <w:rPr>
          <w:rFonts w:eastAsia="Calibri" w:cstheme="minorHAnsi"/>
          <w:sz w:val="24"/>
          <w:szCs w:val="24"/>
          <w:lang w:eastAsia="en-US"/>
        </w:rPr>
        <w:t>—</w:t>
      </w:r>
      <w:r w:rsidR="002639AF" w:rsidRPr="008B75B6">
        <w:rPr>
          <w:rFonts w:eastAsia="Calibri" w:cstheme="minorHAnsi"/>
          <w:sz w:val="24"/>
          <w:szCs w:val="24"/>
          <w:lang w:eastAsia="en-US"/>
        </w:rPr>
        <w:t>Noted ISIS leader and religious cleric Ibrahim Gulek has released a new propaganda video via ISIS’s social media organization featuring beheadings of individuals deemed by ISIS to be apostate Muslims. In the video, Gulek calls for Muslims who are unable to join the fight for their caliphate in the Middle East to wage attacks on the “Roman crusaders” in the West.</w:t>
      </w:r>
    </w:p>
    <w:p w:rsidR="002639AF" w:rsidRPr="008B75B6" w:rsidRDefault="005D5C7C" w:rsidP="002639AF">
      <w:pPr>
        <w:rPr>
          <w:rFonts w:eastAsia="Calibri" w:cstheme="minorHAnsi"/>
          <w:sz w:val="24"/>
          <w:szCs w:val="24"/>
          <w:lang w:eastAsia="en-US"/>
        </w:rPr>
      </w:pPr>
      <w:r w:rsidRPr="008B75B6">
        <w:rPr>
          <w:rFonts w:eastAsia="Calibri" w:cstheme="minorHAnsi"/>
          <w:sz w:val="24"/>
          <w:szCs w:val="24"/>
          <w:lang w:eastAsia="en-US"/>
        </w:rPr>
        <w:t>—</w:t>
      </w:r>
      <w:r w:rsidR="002639AF" w:rsidRPr="008B75B6">
        <w:rPr>
          <w:rFonts w:eastAsia="Calibri" w:cstheme="minorHAnsi"/>
          <w:sz w:val="24"/>
          <w:szCs w:val="24"/>
          <w:lang w:eastAsia="en-US"/>
        </w:rPr>
        <w:t>For several years, Sarihan Aksit has posted many videos and articles of ISIS propaganda that has resulted in his account being banned several times.</w:t>
      </w:r>
    </w:p>
    <w:p w:rsidR="002639AF" w:rsidRPr="008B75B6" w:rsidRDefault="002639AF" w:rsidP="002639AF">
      <w:pPr>
        <w:rPr>
          <w:rFonts w:eastAsia="Calibri" w:cstheme="minorHAnsi"/>
          <w:sz w:val="24"/>
          <w:szCs w:val="24"/>
          <w:lang w:eastAsia="en-US"/>
        </w:rPr>
      </w:pPr>
      <w:r w:rsidRPr="008B75B6">
        <w:rPr>
          <w:rFonts w:eastAsia="Calibri" w:cstheme="minorHAnsi"/>
          <w:noProof/>
          <w:sz w:val="24"/>
          <w:szCs w:val="24"/>
          <w:highlight w:val="cyan"/>
          <w:lang w:eastAsia="en-US"/>
        </w:rPr>
        <w:drawing>
          <wp:anchor distT="0" distB="0" distL="114300" distR="114300" simplePos="0" relativeHeight="251660288" behindDoc="0" locked="0" layoutInCell="1" allowOverlap="1" wp14:anchorId="41E81C86" wp14:editId="009B2AB5">
            <wp:simplePos x="0" y="0"/>
            <wp:positionH relativeFrom="margin">
              <wp:posOffset>-841</wp:posOffset>
            </wp:positionH>
            <wp:positionV relativeFrom="paragraph">
              <wp:posOffset>290830</wp:posOffset>
            </wp:positionV>
            <wp:extent cx="5943600" cy="237934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zbct2.png"/>
                    <pic:cNvPicPr/>
                  </pic:nvPicPr>
                  <pic:blipFill>
                    <a:blip r:embed="rId7">
                      <a:extLst>
                        <a:ext uri="{28A0092B-C50C-407E-A947-70E740481C1C}">
                          <a14:useLocalDpi xmlns:a14="http://schemas.microsoft.com/office/drawing/2010/main" val="0"/>
                        </a:ext>
                      </a:extLst>
                    </a:blip>
                    <a:stretch>
                      <a:fillRect/>
                    </a:stretch>
                  </pic:blipFill>
                  <pic:spPr>
                    <a:xfrm>
                      <a:off x="0" y="0"/>
                      <a:ext cx="5943600" cy="2379345"/>
                    </a:xfrm>
                    <a:prstGeom prst="rect">
                      <a:avLst/>
                    </a:prstGeom>
                  </pic:spPr>
                </pic:pic>
              </a:graphicData>
            </a:graphic>
          </wp:anchor>
        </w:drawing>
      </w:r>
    </w:p>
    <w:p w:rsidR="002639AF" w:rsidRPr="008B75B6" w:rsidRDefault="002639AF" w:rsidP="002639AF">
      <w:pPr>
        <w:rPr>
          <w:rFonts w:eastAsia="Calibri" w:cstheme="minorHAnsi"/>
          <w:sz w:val="24"/>
          <w:szCs w:val="24"/>
          <w:lang w:eastAsia="en-US"/>
        </w:rPr>
      </w:pPr>
      <w:r w:rsidRPr="008B75B6">
        <w:rPr>
          <w:rFonts w:eastAsia="Calibri" w:cstheme="minorHAnsi"/>
          <w:noProof/>
          <w:sz w:val="24"/>
          <w:szCs w:val="24"/>
          <w:lang w:eastAsia="en-US"/>
        </w:rPr>
        <w:drawing>
          <wp:inline distT="0" distB="0" distL="0" distR="0" wp14:anchorId="5BC2160D" wp14:editId="3FD4E8AF">
            <wp:extent cx="5943600" cy="26847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Ag7ju.png"/>
                    <pic:cNvPicPr/>
                  </pic:nvPicPr>
                  <pic:blipFill>
                    <a:blip r:embed="rId8">
                      <a:extLst>
                        <a:ext uri="{28A0092B-C50C-407E-A947-70E740481C1C}">
                          <a14:useLocalDpi xmlns:a14="http://schemas.microsoft.com/office/drawing/2010/main" val="0"/>
                        </a:ext>
                      </a:extLst>
                    </a:blip>
                    <a:stretch>
                      <a:fillRect/>
                    </a:stretch>
                  </pic:blipFill>
                  <pic:spPr>
                    <a:xfrm>
                      <a:off x="0" y="0"/>
                      <a:ext cx="5943600" cy="2684780"/>
                    </a:xfrm>
                    <a:prstGeom prst="rect">
                      <a:avLst/>
                    </a:prstGeom>
                  </pic:spPr>
                </pic:pic>
              </a:graphicData>
            </a:graphic>
          </wp:inline>
        </w:drawing>
      </w:r>
    </w:p>
    <w:p w:rsidR="002639AF" w:rsidRPr="008B75B6" w:rsidRDefault="005D5C7C" w:rsidP="002639AF">
      <w:pPr>
        <w:rPr>
          <w:rFonts w:eastAsia="Calibri" w:cstheme="minorHAnsi"/>
          <w:sz w:val="24"/>
          <w:szCs w:val="24"/>
          <w:lang w:eastAsia="en-US"/>
        </w:rPr>
      </w:pPr>
      <w:r w:rsidRPr="008B75B6">
        <w:rPr>
          <w:rFonts w:eastAsia="Calibri" w:cstheme="minorHAnsi"/>
          <w:sz w:val="24"/>
          <w:szCs w:val="24"/>
          <w:lang w:eastAsia="en-US"/>
        </w:rPr>
        <w:t>—</w:t>
      </w:r>
      <w:r w:rsidR="002639AF" w:rsidRPr="008B75B6">
        <w:rPr>
          <w:rFonts w:eastAsia="Calibri" w:cstheme="minorHAnsi"/>
          <w:sz w:val="24"/>
          <w:szCs w:val="24"/>
          <w:lang w:eastAsia="en-US"/>
        </w:rPr>
        <w:t xml:space="preserve">2011-2013 U.S. Army veteran Edward Sanson began visiting extremist websites during these years and following the rise of ISIS. Twitter activity increased with a growing criticism of US </w:t>
      </w:r>
      <w:r w:rsidR="002639AF" w:rsidRPr="008B75B6">
        <w:rPr>
          <w:rFonts w:eastAsia="Calibri" w:cstheme="minorHAnsi"/>
          <w:sz w:val="24"/>
          <w:szCs w:val="24"/>
          <w:lang w:eastAsia="en-US"/>
        </w:rPr>
        <w:lastRenderedPageBreak/>
        <w:t>involvement in the region as well as disparaging remarks over US policy towards the inclusion of women in the combat roles, LGBTQ rights and immigration. Communication with his father (mother deceased) becomes sporadic and ends in early 2013.</w:t>
      </w:r>
    </w:p>
    <w:p w:rsidR="002639AF" w:rsidRPr="008B75B6" w:rsidRDefault="002639AF" w:rsidP="002639AF">
      <w:pPr>
        <w:rPr>
          <w:rFonts w:eastAsia="Calibri" w:cstheme="minorHAnsi"/>
          <w:sz w:val="24"/>
          <w:szCs w:val="24"/>
          <w:lang w:eastAsia="en-US"/>
        </w:rPr>
      </w:pPr>
      <w:r w:rsidRPr="008B75B6">
        <w:rPr>
          <w:rFonts w:eastAsia="Calibri" w:cstheme="minorHAnsi"/>
          <w:noProof/>
          <w:lang w:eastAsia="en-US"/>
        </w:rPr>
        <w:drawing>
          <wp:inline distT="0" distB="0" distL="0" distR="0" wp14:anchorId="65EF5F75" wp14:editId="2B2DFC33">
            <wp:extent cx="5943600" cy="26847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D5y4U.png"/>
                    <pic:cNvPicPr/>
                  </pic:nvPicPr>
                  <pic:blipFill>
                    <a:blip r:embed="rId9">
                      <a:extLst>
                        <a:ext uri="{28A0092B-C50C-407E-A947-70E740481C1C}">
                          <a14:useLocalDpi xmlns:a14="http://schemas.microsoft.com/office/drawing/2010/main" val="0"/>
                        </a:ext>
                      </a:extLst>
                    </a:blip>
                    <a:stretch>
                      <a:fillRect/>
                    </a:stretch>
                  </pic:blipFill>
                  <pic:spPr>
                    <a:xfrm>
                      <a:off x="0" y="0"/>
                      <a:ext cx="5943600" cy="2684780"/>
                    </a:xfrm>
                    <a:prstGeom prst="rect">
                      <a:avLst/>
                    </a:prstGeom>
                  </pic:spPr>
                </pic:pic>
              </a:graphicData>
            </a:graphic>
          </wp:inline>
        </w:drawing>
      </w:r>
    </w:p>
    <w:p w:rsidR="002639AF" w:rsidRPr="008B75B6" w:rsidRDefault="005D5C7C" w:rsidP="002639AF">
      <w:pPr>
        <w:rPr>
          <w:rFonts w:eastAsia="Calibri" w:cstheme="minorHAnsi"/>
          <w:sz w:val="24"/>
          <w:szCs w:val="24"/>
          <w:lang w:eastAsia="en-US"/>
        </w:rPr>
      </w:pPr>
      <w:r w:rsidRPr="008B75B6">
        <w:rPr>
          <w:rFonts w:eastAsia="Calibri" w:cstheme="minorHAnsi"/>
          <w:sz w:val="24"/>
          <w:szCs w:val="24"/>
          <w:lang w:eastAsia="en-US"/>
        </w:rPr>
        <w:t>—</w:t>
      </w:r>
      <w:r w:rsidR="002639AF" w:rsidRPr="008B75B6">
        <w:rPr>
          <w:rFonts w:eastAsia="Calibri" w:cstheme="minorHAnsi"/>
          <w:sz w:val="24"/>
          <w:szCs w:val="24"/>
          <w:lang w:eastAsia="en-US"/>
        </w:rPr>
        <w:t>2015 Around this time it is suspected that Edward Sanson quietly converted to Islam and took the name “Ahmed Mahmood al Rahman”. A new twitter account under this name is created in late 2015. The “al Rahman” account quickly establishes a network with known ISIS recruiters and sympathizers.</w:t>
      </w:r>
    </w:p>
    <w:p w:rsidR="002639AF" w:rsidRPr="008B75B6" w:rsidRDefault="002639AF" w:rsidP="002639AF">
      <w:pPr>
        <w:rPr>
          <w:rFonts w:eastAsia="Calibri" w:cstheme="minorHAnsi"/>
          <w:sz w:val="24"/>
          <w:szCs w:val="24"/>
          <w:lang w:eastAsia="en-US"/>
        </w:rPr>
      </w:pPr>
      <w:r w:rsidRPr="008B75B6">
        <w:rPr>
          <w:rFonts w:eastAsia="Calibri" w:cstheme="minorHAnsi"/>
          <w:noProof/>
          <w:lang w:eastAsia="en-US"/>
        </w:rPr>
        <w:drawing>
          <wp:inline distT="0" distB="0" distL="0" distR="0" wp14:anchorId="1E30EB33" wp14:editId="55BBBF9E">
            <wp:extent cx="5943600" cy="26847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KQ1NZ.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2684780"/>
                    </a:xfrm>
                    <a:prstGeom prst="rect">
                      <a:avLst/>
                    </a:prstGeom>
                  </pic:spPr>
                </pic:pic>
              </a:graphicData>
            </a:graphic>
          </wp:inline>
        </w:drawing>
      </w:r>
    </w:p>
    <w:p w:rsidR="002639AF" w:rsidRPr="008B75B6" w:rsidRDefault="002639AF" w:rsidP="002639AF">
      <w:pPr>
        <w:rPr>
          <w:rFonts w:eastAsia="Calibri" w:cstheme="minorHAnsi"/>
          <w:sz w:val="24"/>
          <w:szCs w:val="24"/>
          <w:lang w:eastAsia="en-US"/>
        </w:rPr>
      </w:pPr>
      <w:r w:rsidRPr="008B75B6">
        <w:rPr>
          <w:rFonts w:eastAsia="Calibri" w:cstheme="minorHAnsi"/>
          <w:sz w:val="24"/>
          <w:szCs w:val="24"/>
          <w:lang w:eastAsia="en-US"/>
        </w:rPr>
        <w:t>Credit card statements around this time show purchases of handguns at local gun shops.</w:t>
      </w:r>
    </w:p>
    <w:p w:rsidR="002639AF" w:rsidRPr="008B75B6" w:rsidRDefault="002639AF" w:rsidP="002639AF">
      <w:pPr>
        <w:rPr>
          <w:rFonts w:eastAsia="Calibri" w:cstheme="minorHAnsi"/>
          <w:sz w:val="24"/>
          <w:szCs w:val="24"/>
          <w:lang w:eastAsia="en-US"/>
        </w:rPr>
      </w:pPr>
      <w:r w:rsidRPr="008B75B6">
        <w:rPr>
          <w:rFonts w:eastAsia="Calibri" w:cstheme="minorHAnsi"/>
          <w:noProof/>
          <w:sz w:val="24"/>
          <w:szCs w:val="24"/>
          <w:lang w:eastAsia="en-US"/>
        </w:rPr>
        <w:drawing>
          <wp:inline distT="0" distB="0" distL="0" distR="0" wp14:anchorId="1EB3042A" wp14:editId="54B38B16">
            <wp:extent cx="5943600" cy="2129155"/>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anson Bank Statem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129155"/>
                    </a:xfrm>
                    <a:prstGeom prst="rect">
                      <a:avLst/>
                    </a:prstGeom>
                  </pic:spPr>
                </pic:pic>
              </a:graphicData>
            </a:graphic>
          </wp:inline>
        </w:drawing>
      </w:r>
    </w:p>
    <w:p w:rsidR="002639AF" w:rsidRPr="008B75B6" w:rsidRDefault="005D5C7C" w:rsidP="002639AF">
      <w:pPr>
        <w:rPr>
          <w:rFonts w:eastAsia="Calibri" w:cstheme="minorHAnsi"/>
          <w:sz w:val="24"/>
          <w:szCs w:val="24"/>
          <w:lang w:eastAsia="en-US"/>
        </w:rPr>
      </w:pPr>
      <w:r w:rsidRPr="008B75B6">
        <w:rPr>
          <w:rFonts w:eastAsia="Calibri" w:cstheme="minorHAnsi"/>
          <w:sz w:val="24"/>
          <w:szCs w:val="24"/>
          <w:lang w:eastAsia="en-US"/>
        </w:rPr>
        <w:t>—</w:t>
      </w:r>
      <w:r w:rsidR="002639AF" w:rsidRPr="008B75B6">
        <w:rPr>
          <w:rFonts w:eastAsia="Calibri" w:cstheme="minorHAnsi"/>
          <w:sz w:val="24"/>
          <w:szCs w:val="24"/>
          <w:lang w:eastAsia="en-US"/>
        </w:rPr>
        <w:t xml:space="preserve">SIGINT collection apparatus has records indicating Edward Sanson has made several international phone calls to prepaid or satellite phones believed to be in Syria. </w:t>
      </w:r>
    </w:p>
    <w:p w:rsidR="002639AF" w:rsidRPr="008B75B6" w:rsidRDefault="005D5C7C" w:rsidP="002639AF">
      <w:pPr>
        <w:rPr>
          <w:rFonts w:eastAsia="Calibri" w:cstheme="minorHAnsi"/>
          <w:sz w:val="24"/>
          <w:szCs w:val="24"/>
          <w:lang w:eastAsia="en-US"/>
        </w:rPr>
      </w:pPr>
      <w:r w:rsidRPr="008B75B6">
        <w:rPr>
          <w:rFonts w:eastAsia="Calibri" w:cstheme="minorHAnsi"/>
          <w:sz w:val="24"/>
          <w:szCs w:val="24"/>
          <w:lang w:eastAsia="en-US"/>
        </w:rPr>
        <w:t>—</w:t>
      </w:r>
      <w:r w:rsidR="002639AF" w:rsidRPr="008B75B6">
        <w:rPr>
          <w:rFonts w:eastAsia="Calibri" w:cstheme="minorHAnsi"/>
          <w:sz w:val="24"/>
          <w:szCs w:val="24"/>
          <w:lang w:eastAsia="en-US"/>
        </w:rPr>
        <w:t>06/13 The following is a recorded SMS text received from Abdullah’s cellular service provider dated 06/07:</w:t>
      </w:r>
    </w:p>
    <w:p w:rsidR="002639AF" w:rsidRPr="008B75B6" w:rsidRDefault="002639AF" w:rsidP="002639AF">
      <w:pPr>
        <w:rPr>
          <w:rFonts w:eastAsia="Calibri" w:cstheme="minorHAnsi"/>
          <w:sz w:val="24"/>
          <w:szCs w:val="24"/>
          <w:lang w:eastAsia="en-US"/>
        </w:rPr>
      </w:pPr>
      <w:r w:rsidRPr="008B75B6">
        <w:rPr>
          <w:rFonts w:eastAsia="Calibri" w:cstheme="minorHAnsi"/>
          <w:noProof/>
          <w:sz w:val="24"/>
          <w:szCs w:val="24"/>
          <w:lang w:eastAsia="en-US"/>
        </w:rPr>
        <w:drawing>
          <wp:anchor distT="0" distB="0" distL="114300" distR="114300" simplePos="0" relativeHeight="251659264" behindDoc="0" locked="0" layoutInCell="1" allowOverlap="1" wp14:anchorId="06EB9DF1" wp14:editId="1816DCF4">
            <wp:simplePos x="0" y="0"/>
            <wp:positionH relativeFrom="margin">
              <wp:align>center</wp:align>
            </wp:positionH>
            <wp:positionV relativeFrom="paragraph">
              <wp:posOffset>0</wp:posOffset>
            </wp:positionV>
            <wp:extent cx="2733675" cy="3696970"/>
            <wp:effectExtent l="0" t="0" r="9525"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sy Text.jpg"/>
                    <pic:cNvPicPr/>
                  </pic:nvPicPr>
                  <pic:blipFill>
                    <a:blip r:embed="rId12">
                      <a:extLst>
                        <a:ext uri="{28A0092B-C50C-407E-A947-70E740481C1C}">
                          <a14:useLocalDpi xmlns:a14="http://schemas.microsoft.com/office/drawing/2010/main" val="0"/>
                        </a:ext>
                      </a:extLst>
                    </a:blip>
                    <a:stretch>
                      <a:fillRect/>
                    </a:stretch>
                  </pic:blipFill>
                  <pic:spPr>
                    <a:xfrm>
                      <a:off x="0" y="0"/>
                      <a:ext cx="2733675" cy="3696970"/>
                    </a:xfrm>
                    <a:prstGeom prst="rect">
                      <a:avLst/>
                    </a:prstGeom>
                  </pic:spPr>
                </pic:pic>
              </a:graphicData>
            </a:graphic>
          </wp:anchor>
        </w:drawing>
      </w:r>
    </w:p>
    <w:p w:rsidR="001215D1" w:rsidRPr="008B75B6" w:rsidRDefault="005D5C7C" w:rsidP="002639AF">
      <w:pPr>
        <w:rPr>
          <w:rFonts w:eastAsia="Calibri" w:cstheme="minorHAnsi"/>
          <w:sz w:val="24"/>
          <w:szCs w:val="24"/>
          <w:lang w:eastAsia="en-US"/>
        </w:rPr>
      </w:pPr>
      <w:r w:rsidRPr="008B75B6">
        <w:rPr>
          <w:rFonts w:eastAsia="Calibri" w:cstheme="minorHAnsi"/>
          <w:sz w:val="24"/>
          <w:szCs w:val="24"/>
          <w:lang w:eastAsia="en-US"/>
        </w:rPr>
        <w:t>—</w:t>
      </w:r>
      <w:r w:rsidR="002639AF" w:rsidRPr="008B75B6">
        <w:rPr>
          <w:rFonts w:eastAsia="Calibri" w:cstheme="minorHAnsi"/>
          <w:sz w:val="24"/>
          <w:szCs w:val="24"/>
          <w:lang w:eastAsia="en-US"/>
        </w:rPr>
        <w:t>06/08 NSA analysts have noticed a trend among ISIS fighters in the Middle East in their rhetoric both public and private. Often the language used when referring to Western forces, ISIS commanders will evoke images of encroaching crusaders and Roman pagans attempting to invade the lands of Muslims.</w:t>
      </w:r>
    </w:p>
    <w:p w:rsidR="002639AF" w:rsidRPr="008B75B6" w:rsidRDefault="005D5C7C" w:rsidP="002639AF">
      <w:pPr>
        <w:rPr>
          <w:rFonts w:eastAsia="Calibri" w:cstheme="minorHAnsi"/>
          <w:sz w:val="24"/>
          <w:szCs w:val="24"/>
          <w:lang w:eastAsia="en-US"/>
        </w:rPr>
      </w:pPr>
      <w:r w:rsidRPr="008B75B6">
        <w:rPr>
          <w:rFonts w:eastAsia="Calibri" w:cstheme="minorHAnsi"/>
          <w:sz w:val="24"/>
          <w:szCs w:val="24"/>
          <w:lang w:eastAsia="en-US"/>
        </w:rPr>
        <w:t>—</w:t>
      </w:r>
      <w:r w:rsidR="002639AF" w:rsidRPr="008B75B6">
        <w:rPr>
          <w:rFonts w:eastAsia="Calibri" w:cstheme="minorHAnsi"/>
          <w:sz w:val="24"/>
          <w:szCs w:val="24"/>
          <w:lang w:eastAsia="en-US"/>
        </w:rPr>
        <w:t>06/17 Last known credit card transaction for Oz. Notable purchases: Army fatigues from military surplus store, a “North Face Stormbreak 2” outdoor tent.</w:t>
      </w:r>
    </w:p>
    <w:p w:rsidR="00B93BAD" w:rsidRPr="008B75B6" w:rsidRDefault="00D92C55">
      <w:pPr>
        <w:rPr>
          <w:rFonts w:cstheme="minorHAnsi"/>
        </w:rPr>
      </w:pPr>
    </w:p>
    <w:sectPr w:rsidR="00B93BAD" w:rsidRPr="008B75B6" w:rsidSect="008B75B6">
      <w:headerReference w:type="default" r:id="rId13"/>
      <w:footerReference w:type="default" r:id="rId14"/>
      <w:pgSz w:w="12240" w:h="15840"/>
      <w:pgMar w:top="1440" w:right="1440" w:bottom="1440" w:left="1440" w:header="720" w:footer="720" w:gutter="0"/>
      <w:pgBorders w:display="firstPage" w:offsetFrom="page">
        <w:top w:val="thinThickSmallGap" w:sz="48" w:space="24" w:color="auto"/>
        <w:left w:val="thinThickSmallGap" w:sz="48" w:space="24" w:color="auto"/>
        <w:bottom w:val="thickThinSmallGap" w:sz="48" w:space="24" w:color="auto"/>
        <w:right w:val="thickThinSmallGap" w:sz="48"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5B6" w:rsidRDefault="008B75B6" w:rsidP="008B75B6">
      <w:pPr>
        <w:spacing w:after="0" w:line="240" w:lineRule="auto"/>
      </w:pPr>
      <w:r>
        <w:separator/>
      </w:r>
    </w:p>
  </w:endnote>
  <w:endnote w:type="continuationSeparator" w:id="0">
    <w:p w:rsidR="008B75B6" w:rsidRDefault="008B75B6" w:rsidP="008B7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665587"/>
      <w:docPartObj>
        <w:docPartGallery w:val="Page Numbers (Bottom of Page)"/>
        <w:docPartUnique/>
      </w:docPartObj>
    </w:sdtPr>
    <w:sdtEndPr/>
    <w:sdtContent>
      <w:p w:rsidR="008B75B6" w:rsidRDefault="008B75B6">
        <w:pPr>
          <w:pStyle w:val="Footer"/>
          <w:jc w:val="center"/>
        </w:pPr>
        <w:r>
          <w:t>[</w:t>
        </w:r>
        <w:r>
          <w:fldChar w:fldCharType="begin"/>
        </w:r>
        <w:r>
          <w:instrText xml:space="preserve"> PAGE   \* MERGEFORMAT </w:instrText>
        </w:r>
        <w:r>
          <w:fldChar w:fldCharType="separate"/>
        </w:r>
        <w:r w:rsidR="00D92C55">
          <w:rPr>
            <w:noProof/>
          </w:rPr>
          <w:t>4</w:t>
        </w:r>
        <w:r>
          <w:rPr>
            <w:noProof/>
          </w:rPr>
          <w:fldChar w:fldCharType="end"/>
        </w:r>
        <w:r>
          <w:t>]</w:t>
        </w:r>
      </w:p>
    </w:sdtContent>
  </w:sdt>
  <w:p w:rsidR="008B75B6" w:rsidRDefault="008B7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5B6" w:rsidRDefault="008B75B6" w:rsidP="008B75B6">
      <w:pPr>
        <w:spacing w:after="0" w:line="240" w:lineRule="auto"/>
      </w:pPr>
      <w:r>
        <w:separator/>
      </w:r>
    </w:p>
  </w:footnote>
  <w:footnote w:type="continuationSeparator" w:id="0">
    <w:p w:rsidR="008B75B6" w:rsidRDefault="008B75B6" w:rsidP="008B7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209" w:rsidRDefault="00D92C55" w:rsidP="00435209">
    <w:pPr>
      <w:pStyle w:val="Header"/>
      <w:jc w:val="cent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71.25pt">
          <v:imagedata r:id="rId1" o:title="download"/>
        </v:shape>
      </w:pict>
    </w:r>
  </w:p>
  <w:p w:rsidR="00435209" w:rsidRDefault="00435209" w:rsidP="00435209">
    <w:pPr>
      <w:pStyle w:val="Header"/>
      <w:jc w:val="center"/>
    </w:pPr>
    <w:r>
      <w:t>NSA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9AF"/>
    <w:rsid w:val="001215D1"/>
    <w:rsid w:val="002639AF"/>
    <w:rsid w:val="002A446B"/>
    <w:rsid w:val="00435209"/>
    <w:rsid w:val="00566034"/>
    <w:rsid w:val="005D5C7C"/>
    <w:rsid w:val="005E2A70"/>
    <w:rsid w:val="007F228D"/>
    <w:rsid w:val="008B75B6"/>
    <w:rsid w:val="00954114"/>
    <w:rsid w:val="00964D9F"/>
    <w:rsid w:val="00C61AD2"/>
    <w:rsid w:val="00CC2AC1"/>
    <w:rsid w:val="00D92C55"/>
    <w:rsid w:val="00E272B8"/>
    <w:rsid w:val="00F27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22ED0-E1D2-4F58-AE7A-9BF91859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B75B6"/>
    <w:pPr>
      <w:spacing w:after="0" w:line="240" w:lineRule="auto"/>
    </w:pPr>
    <w:rPr>
      <w:lang w:eastAsia="en-US"/>
    </w:rPr>
  </w:style>
  <w:style w:type="character" w:customStyle="1" w:styleId="NoSpacingChar">
    <w:name w:val="No Spacing Char"/>
    <w:basedOn w:val="DefaultParagraphFont"/>
    <w:link w:val="NoSpacing"/>
    <w:uiPriority w:val="1"/>
    <w:rsid w:val="008B75B6"/>
    <w:rPr>
      <w:lang w:eastAsia="en-US"/>
    </w:rPr>
  </w:style>
  <w:style w:type="paragraph" w:styleId="Header">
    <w:name w:val="header"/>
    <w:basedOn w:val="Normal"/>
    <w:link w:val="HeaderChar"/>
    <w:uiPriority w:val="99"/>
    <w:unhideWhenUsed/>
    <w:rsid w:val="008B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5B6"/>
  </w:style>
  <w:style w:type="paragraph" w:styleId="Footer">
    <w:name w:val="footer"/>
    <w:basedOn w:val="Normal"/>
    <w:link w:val="FooterChar"/>
    <w:uiPriority w:val="99"/>
    <w:unhideWhenUsed/>
    <w:rsid w:val="008B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5B6"/>
  </w:style>
  <w:style w:type="paragraph" w:styleId="BalloonText">
    <w:name w:val="Balloon Text"/>
    <w:basedOn w:val="Normal"/>
    <w:link w:val="BalloonTextChar"/>
    <w:uiPriority w:val="99"/>
    <w:semiHidden/>
    <w:unhideWhenUsed/>
    <w:rsid w:val="00D92C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C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E9C9160EE3454AB50B96644D957E85"/>
        <w:category>
          <w:name w:val="General"/>
          <w:gallery w:val="placeholder"/>
        </w:category>
        <w:types>
          <w:type w:val="bbPlcHdr"/>
        </w:types>
        <w:behaviors>
          <w:behavior w:val="content"/>
        </w:behaviors>
        <w:guid w:val="{6384FB1C-1E61-45D4-8FAC-2351B737339A}"/>
      </w:docPartPr>
      <w:docPartBody>
        <w:p w:rsidR="00CF2552" w:rsidRDefault="00A834AC" w:rsidP="00A834AC">
          <w:pPr>
            <w:pStyle w:val="C5E9C9160EE3454AB50B96644D957E8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4AC"/>
    <w:rsid w:val="00A834AC"/>
    <w:rsid w:val="00CF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3DAC892E024B48A55B0D841151FB15">
    <w:name w:val="503DAC892E024B48A55B0D841151FB15"/>
    <w:rsid w:val="00A834AC"/>
  </w:style>
  <w:style w:type="paragraph" w:customStyle="1" w:styleId="8620A46FD96A49908FE781B19AA49FFB">
    <w:name w:val="8620A46FD96A49908FE781B19AA49FFB"/>
    <w:rsid w:val="00A834AC"/>
  </w:style>
  <w:style w:type="paragraph" w:customStyle="1" w:styleId="C5E9C9160EE3454AB50B96644D957E85">
    <w:name w:val="C5E9C9160EE3454AB50B96644D957E85"/>
    <w:rsid w:val="00A834AC"/>
  </w:style>
  <w:style w:type="paragraph" w:customStyle="1" w:styleId="91EBDE43E10E4EB29B21C525CB681ABC">
    <w:name w:val="91EBDE43E10E4EB29B21C525CB681ABC"/>
    <w:rsid w:val="00A834AC"/>
  </w:style>
  <w:style w:type="paragraph" w:customStyle="1" w:styleId="8F032156C3C84C70A351F5AC1F071C99">
    <w:name w:val="8F032156C3C84C70A351F5AC1F071C99"/>
    <w:rsid w:val="00A834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Emerging Threat Data Packet</dc:subject>
  <dc:creator>Tyler McDaniel</dc:creator>
  <cp:keywords/>
  <dc:description/>
  <cp:lastModifiedBy>Aldo Fonseca</cp:lastModifiedBy>
  <cp:revision>8</cp:revision>
  <cp:lastPrinted>2017-10-17T16:02:00Z</cp:lastPrinted>
  <dcterms:created xsi:type="dcterms:W3CDTF">2017-10-16T13:49:00Z</dcterms:created>
  <dcterms:modified xsi:type="dcterms:W3CDTF">2017-10-17T16:03:00Z</dcterms:modified>
</cp:coreProperties>
</file>