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1FE" w:rsidRDefault="00D351FE" w:rsidP="009E0EC5">
      <w:pPr>
        <w:jc w:val="center"/>
        <w:rPr>
          <w:b/>
        </w:rPr>
      </w:pPr>
    </w:p>
    <w:p w:rsidR="00D351FE" w:rsidRDefault="00D351FE" w:rsidP="009E0EC5">
      <w:pPr>
        <w:jc w:val="center"/>
        <w:rPr>
          <w:b/>
        </w:rPr>
      </w:pPr>
    </w:p>
    <w:p w:rsidR="00D351FE" w:rsidRDefault="00D351FE" w:rsidP="009E0EC5">
      <w:pPr>
        <w:jc w:val="center"/>
        <w:rPr>
          <w:b/>
        </w:rPr>
      </w:pPr>
    </w:p>
    <w:p w:rsidR="00D351FE" w:rsidRDefault="00D351FE" w:rsidP="009E0EC5">
      <w:pPr>
        <w:jc w:val="center"/>
        <w:rPr>
          <w:b/>
        </w:rPr>
      </w:pPr>
    </w:p>
    <w:p w:rsidR="00D351FE" w:rsidRDefault="00D351FE" w:rsidP="009E0EC5">
      <w:pPr>
        <w:jc w:val="center"/>
        <w:rPr>
          <w:b/>
        </w:rPr>
      </w:pPr>
    </w:p>
    <w:p w:rsidR="00D351FE" w:rsidRDefault="00D351FE" w:rsidP="009E0EC5">
      <w:pPr>
        <w:jc w:val="center"/>
        <w:rPr>
          <w:b/>
        </w:rPr>
      </w:pPr>
    </w:p>
    <w:p w:rsidR="00D351FE" w:rsidRDefault="00D351FE" w:rsidP="009E0EC5">
      <w:pPr>
        <w:jc w:val="center"/>
        <w:rPr>
          <w:b/>
        </w:rPr>
      </w:pPr>
    </w:p>
    <w:p w:rsidR="00E86F32" w:rsidRDefault="00517F78" w:rsidP="00E86F32">
      <w:pPr>
        <w:jc w:val="center"/>
        <w:rPr>
          <w:b/>
        </w:rPr>
      </w:pPr>
      <w:r>
        <w:rPr>
          <w:b/>
        </w:rPr>
        <w:t xml:space="preserve">Kimberly Green </w:t>
      </w:r>
      <w:r w:rsidR="007A53F3">
        <w:rPr>
          <w:b/>
        </w:rPr>
        <w:t>Latin America</w:t>
      </w:r>
      <w:r w:rsidR="009E0EC5">
        <w:rPr>
          <w:b/>
        </w:rPr>
        <w:t>n and Caribb</w:t>
      </w:r>
      <w:r w:rsidR="004B7154">
        <w:rPr>
          <w:b/>
        </w:rPr>
        <w:t>ean Center</w:t>
      </w:r>
      <w:r w:rsidR="008F3C10">
        <w:rPr>
          <w:b/>
        </w:rPr>
        <w:t xml:space="preserve"> (LACC)</w:t>
      </w:r>
      <w:bookmarkStart w:id="0" w:name="_GoBack"/>
      <w:bookmarkEnd w:id="0"/>
      <w:r w:rsidR="00E86F32">
        <w:rPr>
          <w:b/>
        </w:rPr>
        <w:t xml:space="preserve">, </w:t>
      </w:r>
    </w:p>
    <w:p w:rsidR="00B846B1" w:rsidRDefault="00E86F32" w:rsidP="00E86F32">
      <w:pPr>
        <w:jc w:val="center"/>
        <w:rPr>
          <w:b/>
        </w:rPr>
      </w:pPr>
      <w:r>
        <w:rPr>
          <w:b/>
        </w:rPr>
        <w:t>School for International and Public Affairs</w:t>
      </w:r>
      <w:r w:rsidR="00B846B1">
        <w:rPr>
          <w:b/>
        </w:rPr>
        <w:t xml:space="preserve">, </w:t>
      </w:r>
      <w:r w:rsidR="003B458D">
        <w:rPr>
          <w:b/>
        </w:rPr>
        <w:t>The Education Effect,</w:t>
      </w:r>
    </w:p>
    <w:p w:rsidR="00E86F32" w:rsidRDefault="00B846B1" w:rsidP="00E86F32">
      <w:pPr>
        <w:jc w:val="center"/>
        <w:rPr>
          <w:b/>
        </w:rPr>
      </w:pPr>
      <w:r>
        <w:rPr>
          <w:b/>
        </w:rPr>
        <w:t xml:space="preserve">The </w:t>
      </w:r>
      <w:r w:rsidR="004B7154">
        <w:rPr>
          <w:b/>
        </w:rPr>
        <w:t>Office</w:t>
      </w:r>
      <w:r w:rsidR="00E86F32">
        <w:rPr>
          <w:b/>
        </w:rPr>
        <w:t xml:space="preserve"> of Global Learning Initiatives</w:t>
      </w:r>
      <w:r w:rsidR="00B01FD4">
        <w:rPr>
          <w:b/>
        </w:rPr>
        <w:t>, Digital Libraries of the Caribbean</w:t>
      </w:r>
      <w:r w:rsidR="00E86F32">
        <w:rPr>
          <w:b/>
        </w:rPr>
        <w:t xml:space="preserve"> </w:t>
      </w:r>
    </w:p>
    <w:p w:rsidR="009E0EC5" w:rsidRDefault="009E0EC5" w:rsidP="00E86F32">
      <w:pPr>
        <w:jc w:val="center"/>
        <w:rPr>
          <w:b/>
        </w:rPr>
      </w:pPr>
      <w:r>
        <w:rPr>
          <w:b/>
        </w:rPr>
        <w:t xml:space="preserve">at Florida International University </w:t>
      </w:r>
    </w:p>
    <w:p w:rsidR="009E0EC5" w:rsidRDefault="009E0EC5" w:rsidP="009E0EC5">
      <w:pPr>
        <w:jc w:val="center"/>
        <w:rPr>
          <w:b/>
        </w:rPr>
      </w:pPr>
      <w:r>
        <w:rPr>
          <w:b/>
        </w:rPr>
        <w:t xml:space="preserve">and </w:t>
      </w:r>
    </w:p>
    <w:p w:rsidR="009E0EC5" w:rsidRDefault="009E0EC5" w:rsidP="009E0EC5">
      <w:pPr>
        <w:jc w:val="center"/>
        <w:rPr>
          <w:b/>
        </w:rPr>
      </w:pPr>
      <w:r>
        <w:rPr>
          <w:b/>
        </w:rPr>
        <w:t>Miami Dade County Public Schools</w:t>
      </w:r>
    </w:p>
    <w:p w:rsidR="00517F78" w:rsidRDefault="00517F78" w:rsidP="00627BF6">
      <w:pPr>
        <w:jc w:val="center"/>
        <w:rPr>
          <w:b/>
          <w:i/>
        </w:rPr>
      </w:pPr>
    </w:p>
    <w:p w:rsidR="00517F78" w:rsidRDefault="00517F78" w:rsidP="00627BF6">
      <w:pPr>
        <w:jc w:val="center"/>
        <w:rPr>
          <w:b/>
          <w:i/>
        </w:rPr>
      </w:pPr>
    </w:p>
    <w:p w:rsidR="009E0EC5" w:rsidRPr="009E0EC5" w:rsidRDefault="009E0EC5" w:rsidP="00627BF6">
      <w:pPr>
        <w:jc w:val="center"/>
        <w:rPr>
          <w:b/>
          <w:i/>
        </w:rPr>
      </w:pPr>
      <w:r w:rsidRPr="009E0EC5">
        <w:rPr>
          <w:b/>
          <w:i/>
        </w:rPr>
        <w:t>present</w:t>
      </w:r>
    </w:p>
    <w:p w:rsidR="00C74F16" w:rsidRDefault="00C74F16" w:rsidP="00E86F32">
      <w:pPr>
        <w:jc w:val="center"/>
        <w:rPr>
          <w:b/>
          <w:sz w:val="28"/>
          <w:szCs w:val="28"/>
        </w:rPr>
      </w:pPr>
    </w:p>
    <w:p w:rsidR="00C74F16" w:rsidRPr="00C74F16" w:rsidRDefault="00C74F16" w:rsidP="00E86F32">
      <w:pPr>
        <w:jc w:val="center"/>
        <w:rPr>
          <w:b/>
          <w:sz w:val="28"/>
          <w:szCs w:val="28"/>
        </w:rPr>
      </w:pPr>
      <w:r w:rsidRPr="00C74F16">
        <w:rPr>
          <w:b/>
          <w:sz w:val="28"/>
          <w:szCs w:val="28"/>
        </w:rPr>
        <w:t>Global Issues and Digital Media:</w:t>
      </w:r>
    </w:p>
    <w:p w:rsidR="00E86F32" w:rsidRPr="00C74F16" w:rsidRDefault="00C74F16" w:rsidP="00E86F32">
      <w:pPr>
        <w:jc w:val="center"/>
        <w:rPr>
          <w:b/>
          <w:sz w:val="28"/>
          <w:szCs w:val="28"/>
        </w:rPr>
      </w:pPr>
      <w:r w:rsidRPr="00C74F16">
        <w:rPr>
          <w:b/>
          <w:sz w:val="28"/>
          <w:szCs w:val="28"/>
        </w:rPr>
        <w:t xml:space="preserve"> Integrating Latin American and Caribbean Themes into the Curriculum</w:t>
      </w:r>
      <w:r w:rsidR="00EF7E39" w:rsidRPr="00C74F16">
        <w:rPr>
          <w:b/>
          <w:sz w:val="28"/>
          <w:szCs w:val="28"/>
        </w:rPr>
        <w:br/>
      </w:r>
    </w:p>
    <w:p w:rsidR="00517F78" w:rsidRDefault="00517F78" w:rsidP="00627BF6">
      <w:pPr>
        <w:jc w:val="center"/>
        <w:rPr>
          <w:b/>
        </w:rPr>
      </w:pPr>
    </w:p>
    <w:p w:rsidR="00517F78" w:rsidRPr="00517F78" w:rsidRDefault="00517F78" w:rsidP="00627BF6">
      <w:pPr>
        <w:jc w:val="center"/>
        <w:rPr>
          <w:b/>
          <w:u w:val="single"/>
        </w:rPr>
      </w:pPr>
    </w:p>
    <w:p w:rsidR="00517F78" w:rsidRDefault="00517F78" w:rsidP="00627BF6">
      <w:pPr>
        <w:jc w:val="center"/>
        <w:rPr>
          <w:b/>
        </w:rPr>
      </w:pPr>
    </w:p>
    <w:p w:rsidR="00517F78" w:rsidRDefault="00D351FE" w:rsidP="00517F78">
      <w:pPr>
        <w:jc w:val="center"/>
        <w:rPr>
          <w:b/>
        </w:rPr>
      </w:pPr>
      <w:r>
        <w:rPr>
          <w:b/>
        </w:rPr>
        <w:t xml:space="preserve">Monday, </w:t>
      </w:r>
      <w:r w:rsidR="00D66F20">
        <w:rPr>
          <w:b/>
        </w:rPr>
        <w:t>July 3</w:t>
      </w:r>
      <w:r w:rsidR="00FB67C0">
        <w:rPr>
          <w:b/>
        </w:rPr>
        <w:t>0</w:t>
      </w:r>
      <w:r w:rsidR="00D66F20">
        <w:rPr>
          <w:b/>
        </w:rPr>
        <w:t xml:space="preserve"> </w:t>
      </w:r>
      <w:r w:rsidR="00517F78">
        <w:rPr>
          <w:b/>
        </w:rPr>
        <w:t>-</w:t>
      </w:r>
      <w:r w:rsidR="00D66F20">
        <w:rPr>
          <w:b/>
        </w:rPr>
        <w:t xml:space="preserve"> Friday, August </w:t>
      </w:r>
      <w:r w:rsidR="00FB67C0">
        <w:rPr>
          <w:b/>
        </w:rPr>
        <w:t>3</w:t>
      </w:r>
      <w:r w:rsidR="00D66F20">
        <w:rPr>
          <w:b/>
        </w:rPr>
        <w:t>, 201</w:t>
      </w:r>
      <w:r w:rsidR="0083758D">
        <w:rPr>
          <w:b/>
        </w:rPr>
        <w:t>8</w:t>
      </w:r>
    </w:p>
    <w:p w:rsidR="003679D6" w:rsidRDefault="003679D6" w:rsidP="00627BF6">
      <w:pPr>
        <w:jc w:val="center"/>
        <w:rPr>
          <w:b/>
        </w:rPr>
      </w:pPr>
      <w:r>
        <w:rPr>
          <w:b/>
        </w:rPr>
        <w:t>Florida International University</w:t>
      </w:r>
    </w:p>
    <w:p w:rsidR="003679D6" w:rsidRDefault="003679D6" w:rsidP="00627BF6">
      <w:pPr>
        <w:jc w:val="center"/>
        <w:rPr>
          <w:b/>
        </w:rPr>
      </w:pPr>
      <w:r>
        <w:rPr>
          <w:b/>
        </w:rPr>
        <w:t>Biscayne Bay Campus</w:t>
      </w:r>
    </w:p>
    <w:p w:rsidR="003679D6" w:rsidRDefault="003679D6" w:rsidP="00627BF6">
      <w:pPr>
        <w:jc w:val="center"/>
        <w:rPr>
          <w:b/>
        </w:rPr>
      </w:pPr>
      <w:r w:rsidRPr="003679D6">
        <w:rPr>
          <w:b/>
        </w:rPr>
        <w:t>3000 NE 151 Street</w:t>
      </w:r>
      <w:r w:rsidRPr="003679D6">
        <w:rPr>
          <w:b/>
        </w:rPr>
        <w:br/>
        <w:t>North Miami, FL 33181</w:t>
      </w:r>
    </w:p>
    <w:p w:rsidR="008F3C10" w:rsidRDefault="008F3C10" w:rsidP="00627BF6">
      <w:pPr>
        <w:jc w:val="center"/>
        <w:rPr>
          <w:b/>
        </w:rPr>
      </w:pPr>
    </w:p>
    <w:p w:rsidR="008F3C10" w:rsidRDefault="008F3C10" w:rsidP="00627BF6">
      <w:pPr>
        <w:jc w:val="center"/>
        <w:rPr>
          <w:b/>
        </w:rPr>
      </w:pPr>
    </w:p>
    <w:p w:rsidR="008F3C10" w:rsidRDefault="008F3C10" w:rsidP="00627BF6">
      <w:pPr>
        <w:jc w:val="center"/>
        <w:rPr>
          <w:b/>
        </w:rPr>
      </w:pPr>
    </w:p>
    <w:p w:rsidR="008F3C10" w:rsidRDefault="008F3C10" w:rsidP="00627BF6">
      <w:pPr>
        <w:jc w:val="center"/>
        <w:rPr>
          <w:b/>
        </w:rPr>
      </w:pPr>
    </w:p>
    <w:p w:rsidR="008F3C10" w:rsidRDefault="008F3C10" w:rsidP="00627BF6">
      <w:pPr>
        <w:jc w:val="center"/>
        <w:rPr>
          <w:b/>
        </w:rPr>
      </w:pPr>
    </w:p>
    <w:p w:rsidR="008F3C10" w:rsidRDefault="008F3C10" w:rsidP="00627BF6">
      <w:pPr>
        <w:jc w:val="center"/>
        <w:rPr>
          <w:b/>
        </w:rPr>
      </w:pPr>
    </w:p>
    <w:p w:rsidR="008F3C10" w:rsidRDefault="008F3C10" w:rsidP="00627BF6">
      <w:pPr>
        <w:jc w:val="center"/>
        <w:rPr>
          <w:b/>
        </w:rPr>
      </w:pPr>
    </w:p>
    <w:p w:rsidR="008F3C10" w:rsidRDefault="008F3C10" w:rsidP="00627BF6">
      <w:pPr>
        <w:jc w:val="center"/>
        <w:rPr>
          <w:b/>
        </w:rPr>
      </w:pPr>
    </w:p>
    <w:p w:rsidR="008F3C10" w:rsidRDefault="008F3C10" w:rsidP="00627BF6">
      <w:pPr>
        <w:jc w:val="center"/>
        <w:rPr>
          <w:b/>
        </w:rPr>
      </w:pPr>
    </w:p>
    <w:p w:rsidR="008F3C10" w:rsidRDefault="008F3C10" w:rsidP="00627BF6">
      <w:pPr>
        <w:jc w:val="center"/>
        <w:rPr>
          <w:b/>
        </w:rPr>
      </w:pPr>
    </w:p>
    <w:p w:rsidR="008F3C10" w:rsidRDefault="008F3C10" w:rsidP="00627BF6">
      <w:pPr>
        <w:jc w:val="center"/>
        <w:rPr>
          <w:b/>
        </w:rPr>
      </w:pPr>
    </w:p>
    <w:p w:rsidR="008F3C10" w:rsidRDefault="008F3C10" w:rsidP="00627BF6">
      <w:pPr>
        <w:jc w:val="center"/>
        <w:rPr>
          <w:b/>
        </w:rPr>
      </w:pPr>
    </w:p>
    <w:p w:rsidR="008F3C10" w:rsidRDefault="008F3C10" w:rsidP="00627BF6">
      <w:pPr>
        <w:jc w:val="center"/>
        <w:rPr>
          <w:b/>
        </w:rPr>
      </w:pPr>
    </w:p>
    <w:p w:rsidR="008F3C10" w:rsidRDefault="008F3C10" w:rsidP="00627BF6">
      <w:pPr>
        <w:jc w:val="center"/>
        <w:rPr>
          <w:b/>
        </w:rPr>
      </w:pPr>
      <w:r>
        <w:rPr>
          <w:b/>
        </w:rPr>
        <w:t>Made possible in part through LACC’s U.S. Department of Education Title VI Grant</w:t>
      </w:r>
    </w:p>
    <w:p w:rsidR="00BC4BEF" w:rsidRDefault="00BC4BEF" w:rsidP="00627BF6">
      <w:pPr>
        <w:jc w:val="center"/>
        <w:rPr>
          <w:b/>
        </w:rPr>
      </w:pPr>
    </w:p>
    <w:p w:rsidR="00BC4BEF" w:rsidRDefault="00BC4BEF">
      <w:pPr>
        <w:spacing w:after="160"/>
      </w:pPr>
      <w:r>
        <w:br w:type="page"/>
      </w:r>
    </w:p>
    <w:p w:rsidR="003D1FFD" w:rsidRDefault="003D1FFD" w:rsidP="00B846B1">
      <w:pPr>
        <w:jc w:val="center"/>
        <w:rPr>
          <w:b/>
        </w:rPr>
      </w:pPr>
    </w:p>
    <w:p w:rsidR="003D1FFD" w:rsidRDefault="003D1FFD" w:rsidP="00B846B1">
      <w:pPr>
        <w:jc w:val="center"/>
        <w:rPr>
          <w:b/>
        </w:rPr>
      </w:pPr>
    </w:p>
    <w:p w:rsidR="00B846B1" w:rsidRDefault="00B846B1" w:rsidP="00B846B1">
      <w:pPr>
        <w:jc w:val="center"/>
        <w:rPr>
          <w:b/>
        </w:rPr>
      </w:pPr>
      <w:r>
        <w:rPr>
          <w:b/>
        </w:rPr>
        <w:t xml:space="preserve">Workshop Summary </w:t>
      </w:r>
    </w:p>
    <w:p w:rsidR="00B846B1" w:rsidRDefault="00B846B1" w:rsidP="00B846B1">
      <w:pPr>
        <w:rPr>
          <w:b/>
        </w:rPr>
      </w:pPr>
    </w:p>
    <w:p w:rsidR="003D1FFD" w:rsidRDefault="003D1FFD" w:rsidP="00B846B1">
      <w:pPr>
        <w:rPr>
          <w:b/>
        </w:rPr>
      </w:pPr>
    </w:p>
    <w:p w:rsidR="003D1FFD" w:rsidRDefault="003D1FFD" w:rsidP="00B846B1">
      <w:pPr>
        <w:rPr>
          <w:b/>
        </w:rPr>
      </w:pPr>
    </w:p>
    <w:p w:rsidR="00B846B1" w:rsidRDefault="00B846B1" w:rsidP="00B846B1">
      <w:r w:rsidRPr="0099328C">
        <w:rPr>
          <w:b/>
        </w:rPr>
        <w:t>Global Issues and Digital Media</w:t>
      </w:r>
      <w:r w:rsidRPr="00C74F16">
        <w:t xml:space="preserve"> is a one</w:t>
      </w:r>
      <w:r w:rsidR="0083758D">
        <w:t>-</w:t>
      </w:r>
      <w:r w:rsidRPr="00C74F16">
        <w:t xml:space="preserve">week workshop in which teachers </w:t>
      </w:r>
      <w:r>
        <w:t>engage the inter</w:t>
      </w:r>
      <w:r w:rsidR="00FB67C0">
        <w:t>dependencies</w:t>
      </w:r>
      <w:r>
        <w:t xml:space="preserve"> between current and past issues </w:t>
      </w:r>
      <w:r w:rsidRPr="00C74F16">
        <w:t xml:space="preserve">in Latin America and the Caribbean </w:t>
      </w:r>
      <w:r>
        <w:t>and those in the United States. The purpose of the workshop is to guide teachers through a discovery of global issues and content integration across the curriculum through the use of digital media. By exploring the diversity of this region, participants work with many of the key social studies and language arts standards in American History, Geography, World History, and Civics.</w:t>
      </w:r>
    </w:p>
    <w:p w:rsidR="00B846B1" w:rsidRDefault="00B846B1" w:rsidP="00B846B1"/>
    <w:p w:rsidR="00B846B1" w:rsidRDefault="00B846B1" w:rsidP="00B846B1">
      <w:r w:rsidRPr="00C74F16">
        <w:t>Morning sessions are devo</w:t>
      </w:r>
      <w:r>
        <w:t xml:space="preserve">ted to learning the history, </w:t>
      </w:r>
      <w:r w:rsidRPr="00C74F16">
        <w:t>culture</w:t>
      </w:r>
      <w:r>
        <w:t>, and politics</w:t>
      </w:r>
      <w:r w:rsidRPr="00C74F16">
        <w:t xml:space="preserve"> of this </w:t>
      </w:r>
      <w:r>
        <w:t xml:space="preserve">rich area of the world </w:t>
      </w:r>
      <w:r w:rsidRPr="00C74F16">
        <w:t xml:space="preserve">through lectures, readings and discussions with leading experts. </w:t>
      </w:r>
      <w:r>
        <w:t xml:space="preserve">After each content session, Drs. Hilary Landorf and Sarah Mathews, professors in FIU’s School of Education and Human Development, discuss the relevant curriculum standards, and present practical strategies for infusing Latin American and Caribbean content into the curriculum.  </w:t>
      </w:r>
    </w:p>
    <w:p w:rsidR="00B846B1" w:rsidRDefault="00B846B1" w:rsidP="00B846B1"/>
    <w:p w:rsidR="00B846B1" w:rsidRDefault="00B846B1" w:rsidP="00B846B1">
      <w:r w:rsidRPr="00C74F16">
        <w:t>In the afternoons, teachers work</w:t>
      </w:r>
      <w:r>
        <w:t xml:space="preserve"> with Drs. Landorf and Mathews </w:t>
      </w:r>
      <w:r w:rsidRPr="00C74F16">
        <w:t>to hone their research and digital media production skills which they then</w:t>
      </w:r>
      <w:r>
        <w:t xml:space="preserve"> use to identify and document an </w:t>
      </w:r>
      <w:r w:rsidRPr="00C74F16">
        <w:t>issue of concern in a La</w:t>
      </w:r>
      <w:r>
        <w:t xml:space="preserve">tin American/Caribbean </w:t>
      </w:r>
      <w:r w:rsidRPr="00C74F16">
        <w:t xml:space="preserve">community </w:t>
      </w:r>
      <w:r>
        <w:t xml:space="preserve">that manifests itself </w:t>
      </w:r>
      <w:r w:rsidRPr="00C74F16">
        <w:t xml:space="preserve">in Miami. During the following academic year, teachers will use their newly acquired knowledge and skills to </w:t>
      </w:r>
      <w:r>
        <w:t xml:space="preserve">infuse Latin American and Caribbean content in their curriculum and to </w:t>
      </w:r>
      <w:r w:rsidRPr="00C74F16">
        <w:t>facilitate their own students’ participatio</w:t>
      </w:r>
      <w:r>
        <w:t xml:space="preserve">n in a digital research project. </w:t>
      </w:r>
    </w:p>
    <w:p w:rsidR="00B846B1" w:rsidRDefault="00B846B1" w:rsidP="00B846B1"/>
    <w:p w:rsidR="00B846B1" w:rsidRDefault="00B846B1" w:rsidP="00B846B1">
      <w:pPr>
        <w:rPr>
          <w:b/>
        </w:rPr>
      </w:pPr>
    </w:p>
    <w:p w:rsidR="00B846B1" w:rsidRDefault="00B846B1">
      <w:pPr>
        <w:spacing w:after="160"/>
        <w:rPr>
          <w:rFonts w:ascii="Arial" w:hAnsi="Arial" w:cs="Arial"/>
          <w:sz w:val="20"/>
          <w:szCs w:val="20"/>
        </w:rPr>
      </w:pPr>
      <w:r>
        <w:rPr>
          <w:rFonts w:ascii="Arial" w:hAnsi="Arial" w:cs="Arial"/>
          <w:sz w:val="20"/>
          <w:szCs w:val="20"/>
        </w:rPr>
        <w:br w:type="page"/>
      </w:r>
    </w:p>
    <w:p w:rsidR="00C74F16" w:rsidRDefault="00C74F16" w:rsidP="00C74F16">
      <w:pPr>
        <w:rPr>
          <w:rFonts w:ascii="Arial" w:hAnsi="Arial" w:cs="Arial"/>
          <w:sz w:val="20"/>
          <w:szCs w:val="20"/>
        </w:rPr>
      </w:pPr>
    </w:p>
    <w:p w:rsidR="00C74F16" w:rsidRPr="00C74F16" w:rsidRDefault="00C74F16" w:rsidP="00C74F16"/>
    <w:p w:rsidR="00CD57B4" w:rsidRDefault="00CD57B4" w:rsidP="00C74F16">
      <w:pPr>
        <w:rPr>
          <w:b/>
        </w:rPr>
      </w:pPr>
    </w:p>
    <w:p w:rsidR="00CD57B4" w:rsidRPr="00EC1485" w:rsidRDefault="00CD57B4" w:rsidP="00517F78">
      <w:pPr>
        <w:rPr>
          <w:b/>
        </w:rPr>
      </w:pPr>
    </w:p>
    <w:tbl>
      <w:tblPr>
        <w:tblStyle w:val="TableGrid"/>
        <w:tblW w:w="10975" w:type="dxa"/>
        <w:tblLook w:val="04A0" w:firstRow="1" w:lastRow="0" w:firstColumn="1" w:lastColumn="0" w:noHBand="0" w:noVBand="1"/>
      </w:tblPr>
      <w:tblGrid>
        <w:gridCol w:w="1163"/>
        <w:gridCol w:w="2729"/>
        <w:gridCol w:w="7083"/>
      </w:tblGrid>
      <w:tr w:rsidR="003F385C" w:rsidTr="002D30A5">
        <w:tc>
          <w:tcPr>
            <w:tcW w:w="10975" w:type="dxa"/>
            <w:gridSpan w:val="3"/>
          </w:tcPr>
          <w:p w:rsidR="003F385C" w:rsidRPr="00EC1485" w:rsidRDefault="00517F78" w:rsidP="002D30A5">
            <w:pPr>
              <w:jc w:val="center"/>
              <w:rPr>
                <w:b/>
              </w:rPr>
            </w:pPr>
            <w:r>
              <w:rPr>
                <w:b/>
              </w:rPr>
              <w:t xml:space="preserve">Monday, </w:t>
            </w:r>
            <w:r w:rsidR="00D66F20">
              <w:rPr>
                <w:b/>
              </w:rPr>
              <w:t>July 3</w:t>
            </w:r>
            <w:r w:rsidR="0061476E">
              <w:rPr>
                <w:b/>
              </w:rPr>
              <w:t>0</w:t>
            </w:r>
            <w:r w:rsidR="00D66F20">
              <w:rPr>
                <w:b/>
              </w:rPr>
              <w:t>, 201</w:t>
            </w:r>
            <w:r w:rsidR="0061476E">
              <w:rPr>
                <w:b/>
              </w:rPr>
              <w:t>8</w:t>
            </w:r>
          </w:p>
        </w:tc>
      </w:tr>
      <w:tr w:rsidR="003F385C" w:rsidTr="002D30A5">
        <w:tc>
          <w:tcPr>
            <w:tcW w:w="10975" w:type="dxa"/>
            <w:gridSpan w:val="3"/>
          </w:tcPr>
          <w:p w:rsidR="003F385C" w:rsidRPr="00EC1485" w:rsidRDefault="00EA237C" w:rsidP="002D30A5">
            <w:pPr>
              <w:jc w:val="center"/>
              <w:rPr>
                <w:b/>
              </w:rPr>
            </w:pPr>
            <w:r>
              <w:rPr>
                <w:b/>
              </w:rPr>
              <w:t>The Global in the Americas</w:t>
            </w:r>
          </w:p>
        </w:tc>
      </w:tr>
      <w:tr w:rsidR="00A46010" w:rsidTr="002D30A5">
        <w:tc>
          <w:tcPr>
            <w:tcW w:w="1163" w:type="dxa"/>
          </w:tcPr>
          <w:p w:rsidR="00A46010" w:rsidRDefault="00A46010" w:rsidP="002D30A5">
            <w:pPr>
              <w:jc w:val="center"/>
            </w:pPr>
            <w:r>
              <w:t>Time</w:t>
            </w:r>
          </w:p>
        </w:tc>
        <w:tc>
          <w:tcPr>
            <w:tcW w:w="2729" w:type="dxa"/>
          </w:tcPr>
          <w:p w:rsidR="00A46010" w:rsidRDefault="00A46010" w:rsidP="002D30A5">
            <w:pPr>
              <w:jc w:val="center"/>
            </w:pPr>
            <w:r>
              <w:t>Workshop</w:t>
            </w:r>
          </w:p>
        </w:tc>
        <w:tc>
          <w:tcPr>
            <w:tcW w:w="7083" w:type="dxa"/>
          </w:tcPr>
          <w:p w:rsidR="00A46010" w:rsidRDefault="00A46010" w:rsidP="002D30A5">
            <w:pPr>
              <w:jc w:val="center"/>
            </w:pPr>
            <w:r>
              <w:t>Speaker</w:t>
            </w:r>
          </w:p>
        </w:tc>
      </w:tr>
      <w:tr w:rsidR="00A46010" w:rsidTr="002D30A5">
        <w:tc>
          <w:tcPr>
            <w:tcW w:w="1163" w:type="dxa"/>
          </w:tcPr>
          <w:p w:rsidR="00A46010" w:rsidRDefault="00A46010" w:rsidP="002D30A5">
            <w:pPr>
              <w:jc w:val="center"/>
            </w:pPr>
            <w:r>
              <w:t>9:30</w:t>
            </w:r>
          </w:p>
        </w:tc>
        <w:tc>
          <w:tcPr>
            <w:tcW w:w="2729" w:type="dxa"/>
          </w:tcPr>
          <w:p w:rsidR="00A46010" w:rsidRDefault="00A46010" w:rsidP="002D30A5">
            <w:pPr>
              <w:jc w:val="center"/>
            </w:pPr>
            <w:r>
              <w:t>Introduction of Workshop</w:t>
            </w:r>
          </w:p>
        </w:tc>
        <w:tc>
          <w:tcPr>
            <w:tcW w:w="7083" w:type="dxa"/>
          </w:tcPr>
          <w:p w:rsidR="00A46010" w:rsidRDefault="00A46010" w:rsidP="002D30A5">
            <w:pPr>
              <w:jc w:val="center"/>
            </w:pPr>
            <w:r w:rsidRPr="00207E84">
              <w:rPr>
                <w:b/>
              </w:rPr>
              <w:t>Dr. Hilary Landorf</w:t>
            </w:r>
            <w:r>
              <w:t>,</w:t>
            </w:r>
          </w:p>
          <w:p w:rsidR="00A46010" w:rsidRDefault="00FB67C0" w:rsidP="002D30A5">
            <w:pPr>
              <w:jc w:val="center"/>
            </w:pPr>
            <w:r>
              <w:t xml:space="preserve">Executive </w:t>
            </w:r>
            <w:r w:rsidR="00A46010">
              <w:t>Director, Global Learning, and Associate Professor, International &amp; Intercultural Education, FIU</w:t>
            </w:r>
          </w:p>
        </w:tc>
      </w:tr>
      <w:tr w:rsidR="00A46010" w:rsidTr="002D30A5">
        <w:tc>
          <w:tcPr>
            <w:tcW w:w="1163" w:type="dxa"/>
          </w:tcPr>
          <w:p w:rsidR="00A46010" w:rsidRDefault="00220170" w:rsidP="002D30A5">
            <w:pPr>
              <w:jc w:val="center"/>
            </w:pPr>
            <w:r>
              <w:t>10:30</w:t>
            </w:r>
          </w:p>
        </w:tc>
        <w:tc>
          <w:tcPr>
            <w:tcW w:w="2729" w:type="dxa"/>
          </w:tcPr>
          <w:p w:rsidR="00A46010" w:rsidRDefault="00A46010" w:rsidP="002D30A5">
            <w:pPr>
              <w:jc w:val="center"/>
            </w:pPr>
            <w:r>
              <w:t>Positioning the Global:  The</w:t>
            </w:r>
            <w:r w:rsidR="00220170">
              <w:t xml:space="preserve"> Americas-A Complex</w:t>
            </w:r>
            <w:r>
              <w:t xml:space="preserve"> </w:t>
            </w:r>
            <w:r w:rsidR="00220170">
              <w:t xml:space="preserve">and Interconnected </w:t>
            </w:r>
            <w:r>
              <w:t>History</w:t>
            </w:r>
          </w:p>
        </w:tc>
        <w:tc>
          <w:tcPr>
            <w:tcW w:w="7083" w:type="dxa"/>
          </w:tcPr>
          <w:p w:rsidR="00A46010" w:rsidRDefault="00A46010" w:rsidP="002D30A5">
            <w:pPr>
              <w:jc w:val="center"/>
            </w:pPr>
            <w:r w:rsidRPr="00207E84">
              <w:rPr>
                <w:b/>
              </w:rPr>
              <w:t>Dr. Frank Mora</w:t>
            </w:r>
            <w:r>
              <w:t>, Director, LACC and Professor, Politics &amp; International Relations, FIU</w:t>
            </w:r>
          </w:p>
        </w:tc>
      </w:tr>
      <w:tr w:rsidR="00220170" w:rsidTr="002D30A5">
        <w:tc>
          <w:tcPr>
            <w:tcW w:w="1163" w:type="dxa"/>
          </w:tcPr>
          <w:p w:rsidR="00220170" w:rsidRDefault="00220170" w:rsidP="002D30A5">
            <w:pPr>
              <w:jc w:val="center"/>
            </w:pPr>
            <w:r>
              <w:t>11:45</w:t>
            </w:r>
          </w:p>
        </w:tc>
        <w:tc>
          <w:tcPr>
            <w:tcW w:w="2729" w:type="dxa"/>
          </w:tcPr>
          <w:p w:rsidR="00220170" w:rsidRDefault="008B4484" w:rsidP="002D30A5">
            <w:pPr>
              <w:jc w:val="center"/>
            </w:pPr>
            <w:r>
              <w:t>Introduction to Digital Library Resources</w:t>
            </w:r>
          </w:p>
        </w:tc>
        <w:tc>
          <w:tcPr>
            <w:tcW w:w="7083" w:type="dxa"/>
          </w:tcPr>
          <w:p w:rsidR="00220170" w:rsidRPr="008B4484" w:rsidRDefault="008B4484" w:rsidP="008B4484">
            <w:pPr>
              <w:jc w:val="center"/>
            </w:pPr>
            <w:r w:rsidRPr="008B4484">
              <w:rPr>
                <w:b/>
                <w:color w:val="000000"/>
              </w:rPr>
              <w:t>Miguel Asencio</w:t>
            </w:r>
            <w:r w:rsidR="00220170" w:rsidRPr="008B4484">
              <w:rPr>
                <w:b/>
              </w:rPr>
              <w:t xml:space="preserve">, </w:t>
            </w:r>
            <w:r>
              <w:t>Director, Digital Library of the Caribbean</w:t>
            </w:r>
          </w:p>
        </w:tc>
      </w:tr>
      <w:tr w:rsidR="003F385C" w:rsidTr="002D30A5">
        <w:tc>
          <w:tcPr>
            <w:tcW w:w="1163" w:type="dxa"/>
          </w:tcPr>
          <w:p w:rsidR="003F385C" w:rsidRDefault="003F385C" w:rsidP="002D30A5">
            <w:pPr>
              <w:jc w:val="center"/>
            </w:pPr>
            <w:r>
              <w:t>12:30</w:t>
            </w:r>
          </w:p>
        </w:tc>
        <w:tc>
          <w:tcPr>
            <w:tcW w:w="9812" w:type="dxa"/>
            <w:gridSpan w:val="2"/>
          </w:tcPr>
          <w:p w:rsidR="003F385C" w:rsidRDefault="003F385C" w:rsidP="002D30A5">
            <w:pPr>
              <w:jc w:val="center"/>
            </w:pPr>
            <w:r>
              <w:t>Lunch</w:t>
            </w:r>
          </w:p>
        </w:tc>
      </w:tr>
      <w:tr w:rsidR="00CD57B4" w:rsidTr="002D30A5">
        <w:tc>
          <w:tcPr>
            <w:tcW w:w="1163" w:type="dxa"/>
          </w:tcPr>
          <w:p w:rsidR="00CD57B4" w:rsidRDefault="00CD57B4" w:rsidP="002D30A5">
            <w:pPr>
              <w:jc w:val="center"/>
            </w:pPr>
            <w:r>
              <w:t>1:30</w:t>
            </w:r>
          </w:p>
        </w:tc>
        <w:tc>
          <w:tcPr>
            <w:tcW w:w="9812" w:type="dxa"/>
            <w:gridSpan w:val="2"/>
            <w:vMerge w:val="restart"/>
          </w:tcPr>
          <w:p w:rsidR="00CD57B4" w:rsidRDefault="007255DD" w:rsidP="002D30A5">
            <w:pPr>
              <w:jc w:val="center"/>
            </w:pPr>
            <w:r>
              <w:t xml:space="preserve">Introduction to </w:t>
            </w:r>
            <w:r w:rsidR="0030303B">
              <w:t>Digital</w:t>
            </w:r>
            <w:r w:rsidR="0061476E">
              <w:t xml:space="preserve"> Media </w:t>
            </w:r>
            <w:r w:rsidR="0030303B">
              <w:t>Research</w:t>
            </w:r>
            <w:r w:rsidR="002F2407">
              <w:t>: What, How, Why, When, Where</w:t>
            </w:r>
          </w:p>
          <w:p w:rsidR="000C2E80" w:rsidRDefault="000C2E80" w:rsidP="002D30A5">
            <w:pPr>
              <w:jc w:val="center"/>
            </w:pPr>
            <w:r w:rsidRPr="000C2E80">
              <w:rPr>
                <w:b/>
              </w:rPr>
              <w:t>Dr. Sarah Mathews</w:t>
            </w:r>
            <w:r w:rsidR="008B4484">
              <w:rPr>
                <w:b/>
              </w:rPr>
              <w:t xml:space="preserve">, </w:t>
            </w:r>
            <w:r w:rsidR="008B4484">
              <w:t>Associate Professor, Social Studies Education, FIU</w:t>
            </w:r>
          </w:p>
        </w:tc>
      </w:tr>
      <w:tr w:rsidR="00220170" w:rsidTr="002D30A5">
        <w:tc>
          <w:tcPr>
            <w:tcW w:w="1163" w:type="dxa"/>
          </w:tcPr>
          <w:p w:rsidR="00220170" w:rsidRDefault="00220170" w:rsidP="002D30A5">
            <w:pPr>
              <w:jc w:val="center"/>
            </w:pPr>
            <w:r>
              <w:t>3:30</w:t>
            </w:r>
          </w:p>
        </w:tc>
        <w:tc>
          <w:tcPr>
            <w:tcW w:w="9812" w:type="dxa"/>
            <w:gridSpan w:val="2"/>
            <w:vMerge/>
          </w:tcPr>
          <w:p w:rsidR="00220170" w:rsidRDefault="00220170" w:rsidP="002D30A5">
            <w:pPr>
              <w:jc w:val="center"/>
            </w:pPr>
          </w:p>
        </w:tc>
      </w:tr>
    </w:tbl>
    <w:p w:rsidR="00627BF6" w:rsidRDefault="00627BF6" w:rsidP="002D30A5">
      <w:pPr>
        <w:jc w:val="center"/>
      </w:pPr>
    </w:p>
    <w:p w:rsidR="00AA20D6" w:rsidRDefault="00AA20D6" w:rsidP="002D30A5">
      <w:pPr>
        <w:jc w:val="center"/>
      </w:pPr>
    </w:p>
    <w:p w:rsidR="00AA20D6" w:rsidRDefault="00AA20D6" w:rsidP="002D30A5">
      <w:pPr>
        <w:jc w:val="center"/>
      </w:pPr>
    </w:p>
    <w:tbl>
      <w:tblPr>
        <w:tblStyle w:val="TableGrid"/>
        <w:tblW w:w="10975" w:type="dxa"/>
        <w:tblLook w:val="04A0" w:firstRow="1" w:lastRow="0" w:firstColumn="1" w:lastColumn="0" w:noHBand="0" w:noVBand="1"/>
      </w:tblPr>
      <w:tblGrid>
        <w:gridCol w:w="1162"/>
        <w:gridCol w:w="3603"/>
        <w:gridCol w:w="6210"/>
      </w:tblGrid>
      <w:tr w:rsidR="00AA20D6" w:rsidRPr="00EC1485" w:rsidTr="002D30A5">
        <w:tc>
          <w:tcPr>
            <w:tcW w:w="10975" w:type="dxa"/>
            <w:gridSpan w:val="3"/>
            <w:tcBorders>
              <w:top w:val="single" w:sz="4" w:space="0" w:color="auto"/>
            </w:tcBorders>
          </w:tcPr>
          <w:p w:rsidR="00AA20D6" w:rsidRPr="00EC1485" w:rsidRDefault="00D66F20" w:rsidP="002D30A5">
            <w:pPr>
              <w:jc w:val="center"/>
              <w:rPr>
                <w:b/>
              </w:rPr>
            </w:pPr>
            <w:r>
              <w:rPr>
                <w:b/>
              </w:rPr>
              <w:t xml:space="preserve">Tuesday, </w:t>
            </w:r>
            <w:r w:rsidR="0061476E">
              <w:rPr>
                <w:b/>
              </w:rPr>
              <w:t>July 31</w:t>
            </w:r>
            <w:r>
              <w:rPr>
                <w:b/>
              </w:rPr>
              <w:t>, 201</w:t>
            </w:r>
            <w:r w:rsidR="0061476E">
              <w:rPr>
                <w:b/>
              </w:rPr>
              <w:t>8</w:t>
            </w:r>
          </w:p>
        </w:tc>
      </w:tr>
      <w:tr w:rsidR="00AA20D6" w:rsidRPr="00EC1485" w:rsidTr="002D30A5">
        <w:tc>
          <w:tcPr>
            <w:tcW w:w="10975" w:type="dxa"/>
            <w:gridSpan w:val="3"/>
          </w:tcPr>
          <w:p w:rsidR="00AA20D6" w:rsidRPr="00EC1485" w:rsidRDefault="00AA20D6" w:rsidP="002D30A5">
            <w:pPr>
              <w:jc w:val="center"/>
              <w:rPr>
                <w:b/>
              </w:rPr>
            </w:pPr>
            <w:r>
              <w:rPr>
                <w:b/>
              </w:rPr>
              <w:t>Examining Challenges through the Lens of Latin America and the Caribbean</w:t>
            </w:r>
          </w:p>
        </w:tc>
      </w:tr>
      <w:tr w:rsidR="00211424" w:rsidTr="002D30A5">
        <w:tc>
          <w:tcPr>
            <w:tcW w:w="1162" w:type="dxa"/>
          </w:tcPr>
          <w:p w:rsidR="00211424" w:rsidRDefault="00211424" w:rsidP="002D30A5">
            <w:pPr>
              <w:jc w:val="center"/>
            </w:pPr>
            <w:r>
              <w:t>Time</w:t>
            </w:r>
          </w:p>
        </w:tc>
        <w:tc>
          <w:tcPr>
            <w:tcW w:w="3603" w:type="dxa"/>
          </w:tcPr>
          <w:p w:rsidR="00211424" w:rsidRDefault="00220170" w:rsidP="002D30A5">
            <w:pPr>
              <w:jc w:val="center"/>
            </w:pPr>
            <w:r>
              <w:t>Workshop</w:t>
            </w:r>
          </w:p>
        </w:tc>
        <w:tc>
          <w:tcPr>
            <w:tcW w:w="6210" w:type="dxa"/>
          </w:tcPr>
          <w:p w:rsidR="00211424" w:rsidRDefault="00220170" w:rsidP="002D30A5">
            <w:pPr>
              <w:jc w:val="center"/>
            </w:pPr>
            <w:r>
              <w:t>Speaker</w:t>
            </w:r>
          </w:p>
        </w:tc>
      </w:tr>
      <w:tr w:rsidR="00940796" w:rsidTr="002D30A5">
        <w:tc>
          <w:tcPr>
            <w:tcW w:w="1162" w:type="dxa"/>
          </w:tcPr>
          <w:p w:rsidR="00940796" w:rsidRDefault="00940796" w:rsidP="002D30A5">
            <w:pPr>
              <w:jc w:val="center"/>
            </w:pPr>
            <w:r>
              <w:t>8:30</w:t>
            </w:r>
          </w:p>
        </w:tc>
        <w:tc>
          <w:tcPr>
            <w:tcW w:w="9813" w:type="dxa"/>
            <w:gridSpan w:val="2"/>
          </w:tcPr>
          <w:p w:rsidR="00940796" w:rsidRDefault="00940796" w:rsidP="002D30A5">
            <w:pPr>
              <w:jc w:val="center"/>
            </w:pPr>
            <w:r>
              <w:t>Curriculum Planning</w:t>
            </w:r>
          </w:p>
        </w:tc>
      </w:tr>
      <w:tr w:rsidR="00211424" w:rsidRPr="007E131E" w:rsidTr="002D30A5">
        <w:trPr>
          <w:trHeight w:val="414"/>
        </w:trPr>
        <w:tc>
          <w:tcPr>
            <w:tcW w:w="1162" w:type="dxa"/>
          </w:tcPr>
          <w:p w:rsidR="00211424" w:rsidRDefault="00211424" w:rsidP="002D30A5">
            <w:pPr>
              <w:jc w:val="center"/>
            </w:pPr>
            <w:r>
              <w:t>9:30</w:t>
            </w:r>
          </w:p>
        </w:tc>
        <w:tc>
          <w:tcPr>
            <w:tcW w:w="3603" w:type="dxa"/>
            <w:tcBorders>
              <w:right w:val="single" w:sz="4" w:space="0" w:color="auto"/>
            </w:tcBorders>
          </w:tcPr>
          <w:p w:rsidR="00211424" w:rsidRDefault="00211424" w:rsidP="002D30A5">
            <w:pPr>
              <w:jc w:val="center"/>
            </w:pPr>
            <w:r>
              <w:t xml:space="preserve">Digital </w:t>
            </w:r>
            <w:r w:rsidR="0061476E">
              <w:t xml:space="preserve">Media </w:t>
            </w:r>
            <w:r>
              <w:t>Research: Selection of Groups and Local Issues of Concern in Latin American and Caribbean Diaspora Communities in Miami</w:t>
            </w:r>
          </w:p>
        </w:tc>
        <w:tc>
          <w:tcPr>
            <w:tcW w:w="6210" w:type="dxa"/>
            <w:tcBorders>
              <w:right w:val="single" w:sz="4" w:space="0" w:color="auto"/>
            </w:tcBorders>
          </w:tcPr>
          <w:p w:rsidR="00211424" w:rsidRPr="007E131E" w:rsidRDefault="00211424" w:rsidP="002D30A5">
            <w:pPr>
              <w:pBdr>
                <w:right w:val="single" w:sz="4" w:space="4" w:color="auto"/>
              </w:pBdr>
              <w:jc w:val="center"/>
              <w:rPr>
                <w:b/>
              </w:rPr>
            </w:pPr>
            <w:r w:rsidRPr="000C2E80">
              <w:rPr>
                <w:b/>
              </w:rPr>
              <w:t>Dr. Sarah Mathews</w:t>
            </w:r>
          </w:p>
        </w:tc>
      </w:tr>
      <w:tr w:rsidR="00211424" w:rsidRPr="007E131E" w:rsidTr="002D30A5">
        <w:trPr>
          <w:trHeight w:val="414"/>
        </w:trPr>
        <w:tc>
          <w:tcPr>
            <w:tcW w:w="1162" w:type="dxa"/>
          </w:tcPr>
          <w:p w:rsidR="00211424" w:rsidRDefault="00211424" w:rsidP="002D30A5">
            <w:pPr>
              <w:jc w:val="center"/>
            </w:pPr>
            <w:r>
              <w:t>10:30</w:t>
            </w:r>
          </w:p>
        </w:tc>
        <w:tc>
          <w:tcPr>
            <w:tcW w:w="3603" w:type="dxa"/>
            <w:tcBorders>
              <w:right w:val="single" w:sz="4" w:space="0" w:color="auto"/>
            </w:tcBorders>
          </w:tcPr>
          <w:p w:rsidR="00211424" w:rsidRDefault="00211424" w:rsidP="002D30A5">
            <w:pPr>
              <w:jc w:val="center"/>
            </w:pPr>
            <w:proofErr w:type="spellStart"/>
            <w:r>
              <w:t>Syndemics</w:t>
            </w:r>
            <w:proofErr w:type="spellEnd"/>
            <w:r>
              <w:t xml:space="preserve"> and Citizenship in the Dominican Republic</w:t>
            </w:r>
          </w:p>
        </w:tc>
        <w:tc>
          <w:tcPr>
            <w:tcW w:w="6210" w:type="dxa"/>
            <w:tcBorders>
              <w:right w:val="single" w:sz="4" w:space="0" w:color="auto"/>
            </w:tcBorders>
          </w:tcPr>
          <w:p w:rsidR="00752C30" w:rsidRDefault="00211424" w:rsidP="002D30A5">
            <w:pPr>
              <w:jc w:val="center"/>
            </w:pPr>
            <w:r w:rsidRPr="00211424">
              <w:rPr>
                <w:b/>
              </w:rPr>
              <w:t>Dr. Mark Padilla</w:t>
            </w:r>
            <w:r w:rsidR="00752C30">
              <w:t>, Associate Professor, FIU &amp;</w:t>
            </w:r>
          </w:p>
          <w:p w:rsidR="00211424" w:rsidRDefault="00211424" w:rsidP="00752C30">
            <w:pPr>
              <w:jc w:val="center"/>
            </w:pPr>
            <w:r>
              <w:t xml:space="preserve"> </w:t>
            </w:r>
            <w:r w:rsidRPr="00211424">
              <w:rPr>
                <w:b/>
              </w:rPr>
              <w:t>Armando Matiz Reyes</w:t>
            </w:r>
            <w:r w:rsidR="00752C30">
              <w:t>, Research Associate</w:t>
            </w:r>
            <w:r>
              <w:t>, FIU</w:t>
            </w:r>
          </w:p>
        </w:tc>
      </w:tr>
      <w:tr w:rsidR="00AA20D6" w:rsidTr="002D30A5">
        <w:tc>
          <w:tcPr>
            <w:tcW w:w="1162" w:type="dxa"/>
          </w:tcPr>
          <w:p w:rsidR="00AA20D6" w:rsidRDefault="00AA20D6" w:rsidP="002D30A5">
            <w:pPr>
              <w:jc w:val="center"/>
            </w:pPr>
            <w:r>
              <w:t>12:30</w:t>
            </w:r>
          </w:p>
        </w:tc>
        <w:tc>
          <w:tcPr>
            <w:tcW w:w="9813" w:type="dxa"/>
            <w:gridSpan w:val="2"/>
          </w:tcPr>
          <w:p w:rsidR="00AA20D6" w:rsidRDefault="00AA20D6" w:rsidP="002D30A5">
            <w:pPr>
              <w:jc w:val="center"/>
            </w:pPr>
            <w:r>
              <w:t>Lunch</w:t>
            </w:r>
          </w:p>
        </w:tc>
      </w:tr>
      <w:tr w:rsidR="00AA20D6" w:rsidTr="002D30A5">
        <w:tc>
          <w:tcPr>
            <w:tcW w:w="1162" w:type="dxa"/>
          </w:tcPr>
          <w:p w:rsidR="00AA20D6" w:rsidRDefault="00AA20D6" w:rsidP="002D30A5">
            <w:pPr>
              <w:jc w:val="center"/>
            </w:pPr>
          </w:p>
        </w:tc>
        <w:tc>
          <w:tcPr>
            <w:tcW w:w="3603" w:type="dxa"/>
          </w:tcPr>
          <w:p w:rsidR="00AA20D6" w:rsidRDefault="00AA20D6" w:rsidP="002D30A5">
            <w:pPr>
              <w:jc w:val="center"/>
            </w:pPr>
            <w:r>
              <w:t>Workshop</w:t>
            </w:r>
          </w:p>
        </w:tc>
        <w:tc>
          <w:tcPr>
            <w:tcW w:w="6210" w:type="dxa"/>
          </w:tcPr>
          <w:p w:rsidR="00AA20D6" w:rsidRDefault="00AA20D6" w:rsidP="002D30A5">
            <w:pPr>
              <w:jc w:val="center"/>
            </w:pPr>
            <w:r>
              <w:t>Speaker</w:t>
            </w:r>
          </w:p>
        </w:tc>
      </w:tr>
      <w:tr w:rsidR="00AA20D6" w:rsidTr="002D30A5">
        <w:trPr>
          <w:trHeight w:val="562"/>
        </w:trPr>
        <w:tc>
          <w:tcPr>
            <w:tcW w:w="1162" w:type="dxa"/>
          </w:tcPr>
          <w:p w:rsidR="00AA20D6" w:rsidRDefault="00220170" w:rsidP="002D30A5">
            <w:pPr>
              <w:jc w:val="center"/>
            </w:pPr>
            <w:r>
              <w:t>1</w:t>
            </w:r>
            <w:r w:rsidR="00AA20D6">
              <w:t>:30</w:t>
            </w:r>
          </w:p>
        </w:tc>
        <w:tc>
          <w:tcPr>
            <w:tcW w:w="3603" w:type="dxa"/>
          </w:tcPr>
          <w:p w:rsidR="00AA20D6" w:rsidRDefault="00AA20D6" w:rsidP="002D30A5">
            <w:pPr>
              <w:jc w:val="center"/>
            </w:pPr>
            <w:r w:rsidRPr="0030303B">
              <w:t>Haitian culture and diasporic identity</w:t>
            </w:r>
          </w:p>
        </w:tc>
        <w:tc>
          <w:tcPr>
            <w:tcW w:w="6210" w:type="dxa"/>
          </w:tcPr>
          <w:p w:rsidR="00AA20D6" w:rsidRDefault="00AA20D6" w:rsidP="002D30A5">
            <w:pPr>
              <w:jc w:val="center"/>
            </w:pPr>
            <w:r w:rsidRPr="00AA20D6">
              <w:rPr>
                <w:b/>
              </w:rPr>
              <w:t>Dr. Charlene Desir</w:t>
            </w:r>
            <w:r>
              <w:t>,</w:t>
            </w:r>
          </w:p>
          <w:p w:rsidR="00AA20D6" w:rsidRDefault="00AA20D6" w:rsidP="002D30A5">
            <w:pPr>
              <w:jc w:val="center"/>
            </w:pPr>
            <w:r>
              <w:t>Associate Professor, College of Education,</w:t>
            </w:r>
          </w:p>
          <w:p w:rsidR="00AA20D6" w:rsidRDefault="00AA20D6" w:rsidP="002D30A5">
            <w:pPr>
              <w:jc w:val="center"/>
            </w:pPr>
            <w:r>
              <w:t>Nova Southeastern University</w:t>
            </w:r>
          </w:p>
        </w:tc>
      </w:tr>
      <w:tr w:rsidR="00220170" w:rsidTr="002D30A5">
        <w:trPr>
          <w:trHeight w:val="562"/>
        </w:trPr>
        <w:tc>
          <w:tcPr>
            <w:tcW w:w="1162" w:type="dxa"/>
          </w:tcPr>
          <w:p w:rsidR="00220170" w:rsidRDefault="00220170" w:rsidP="002D30A5">
            <w:pPr>
              <w:jc w:val="center"/>
            </w:pPr>
            <w:r>
              <w:t>3:00</w:t>
            </w:r>
          </w:p>
        </w:tc>
        <w:tc>
          <w:tcPr>
            <w:tcW w:w="3603" w:type="dxa"/>
          </w:tcPr>
          <w:p w:rsidR="00220170" w:rsidRPr="0030303B" w:rsidRDefault="00220170" w:rsidP="002D30A5">
            <w:pPr>
              <w:jc w:val="center"/>
            </w:pPr>
            <w:r>
              <w:t>Curriculum Standards Discussion</w:t>
            </w:r>
          </w:p>
        </w:tc>
        <w:tc>
          <w:tcPr>
            <w:tcW w:w="6210" w:type="dxa"/>
          </w:tcPr>
          <w:p w:rsidR="00220170" w:rsidRPr="00AA20D6" w:rsidRDefault="00220170" w:rsidP="002D30A5">
            <w:pPr>
              <w:jc w:val="center"/>
              <w:rPr>
                <w:b/>
              </w:rPr>
            </w:pPr>
            <w:r>
              <w:rPr>
                <w:b/>
              </w:rPr>
              <w:t>Dr. Sarah Mathews</w:t>
            </w:r>
          </w:p>
        </w:tc>
      </w:tr>
    </w:tbl>
    <w:p w:rsidR="00D23D25" w:rsidRDefault="00D23D25" w:rsidP="002D30A5">
      <w:pPr>
        <w:jc w:val="center"/>
      </w:pPr>
    </w:p>
    <w:p w:rsidR="00CD57B4" w:rsidRDefault="00CD57B4" w:rsidP="002D30A5">
      <w:pPr>
        <w:jc w:val="center"/>
      </w:pPr>
    </w:p>
    <w:p w:rsidR="00211424" w:rsidRDefault="00211424" w:rsidP="002D30A5">
      <w:pPr>
        <w:jc w:val="center"/>
      </w:pPr>
    </w:p>
    <w:p w:rsidR="00211424" w:rsidRDefault="00211424" w:rsidP="002D30A5">
      <w:pPr>
        <w:jc w:val="center"/>
      </w:pPr>
    </w:p>
    <w:p w:rsidR="00211424" w:rsidRDefault="00211424" w:rsidP="002D30A5">
      <w:pPr>
        <w:jc w:val="center"/>
      </w:pPr>
    </w:p>
    <w:p w:rsidR="00211424" w:rsidRDefault="00211424" w:rsidP="002D30A5">
      <w:pPr>
        <w:jc w:val="center"/>
      </w:pPr>
    </w:p>
    <w:p w:rsidR="00211424" w:rsidRDefault="00211424" w:rsidP="002D30A5">
      <w:pPr>
        <w:jc w:val="center"/>
      </w:pPr>
    </w:p>
    <w:p w:rsidR="00211424" w:rsidRDefault="00211424" w:rsidP="002D30A5">
      <w:pPr>
        <w:jc w:val="center"/>
      </w:pPr>
    </w:p>
    <w:p w:rsidR="00211424" w:rsidRDefault="00211424" w:rsidP="002D30A5">
      <w:pPr>
        <w:jc w:val="center"/>
      </w:pPr>
    </w:p>
    <w:p w:rsidR="00627BF6" w:rsidRDefault="00627BF6" w:rsidP="002D30A5">
      <w:pPr>
        <w:jc w:val="center"/>
      </w:pPr>
    </w:p>
    <w:tbl>
      <w:tblPr>
        <w:tblStyle w:val="TableGrid"/>
        <w:tblW w:w="10975" w:type="dxa"/>
        <w:tblLook w:val="04A0" w:firstRow="1" w:lastRow="0" w:firstColumn="1" w:lastColumn="0" w:noHBand="0" w:noVBand="1"/>
      </w:tblPr>
      <w:tblGrid>
        <w:gridCol w:w="1162"/>
        <w:gridCol w:w="2736"/>
        <w:gridCol w:w="1313"/>
        <w:gridCol w:w="5764"/>
      </w:tblGrid>
      <w:tr w:rsidR="00830E18" w:rsidTr="002D30A5">
        <w:tc>
          <w:tcPr>
            <w:tcW w:w="10975" w:type="dxa"/>
            <w:gridSpan w:val="4"/>
          </w:tcPr>
          <w:p w:rsidR="00830E18" w:rsidRPr="00EC1485" w:rsidRDefault="00830E18" w:rsidP="002D30A5">
            <w:pPr>
              <w:jc w:val="center"/>
              <w:rPr>
                <w:b/>
              </w:rPr>
            </w:pPr>
            <w:r>
              <w:rPr>
                <w:b/>
              </w:rPr>
              <w:lastRenderedPageBreak/>
              <w:t>Wednesday</w:t>
            </w:r>
            <w:r w:rsidRPr="00EC1485">
              <w:rPr>
                <w:b/>
              </w:rPr>
              <w:t xml:space="preserve"> </w:t>
            </w:r>
            <w:r>
              <w:rPr>
                <w:b/>
              </w:rPr>
              <w:t>–</w:t>
            </w:r>
            <w:r w:rsidRPr="00EC1485">
              <w:rPr>
                <w:b/>
              </w:rPr>
              <w:t xml:space="preserve"> </w:t>
            </w:r>
            <w:r w:rsidR="00D66F20">
              <w:rPr>
                <w:b/>
              </w:rPr>
              <w:t xml:space="preserve">August </w:t>
            </w:r>
            <w:r w:rsidR="0061476E">
              <w:rPr>
                <w:b/>
              </w:rPr>
              <w:t>1</w:t>
            </w:r>
            <w:r w:rsidRPr="00EC1485">
              <w:rPr>
                <w:b/>
              </w:rPr>
              <w:t>,</w:t>
            </w:r>
            <w:r w:rsidR="00D66F20">
              <w:rPr>
                <w:b/>
              </w:rPr>
              <w:t xml:space="preserve"> 201</w:t>
            </w:r>
            <w:r w:rsidR="0061476E">
              <w:rPr>
                <w:b/>
              </w:rPr>
              <w:t>8</w:t>
            </w:r>
          </w:p>
        </w:tc>
      </w:tr>
      <w:tr w:rsidR="00830E18" w:rsidTr="002D30A5">
        <w:tc>
          <w:tcPr>
            <w:tcW w:w="10975" w:type="dxa"/>
            <w:gridSpan w:val="4"/>
          </w:tcPr>
          <w:p w:rsidR="00830E18" w:rsidRPr="00EC1485" w:rsidRDefault="00EA237C" w:rsidP="002D30A5">
            <w:pPr>
              <w:jc w:val="center"/>
              <w:rPr>
                <w:b/>
              </w:rPr>
            </w:pPr>
            <w:r>
              <w:rPr>
                <w:b/>
              </w:rPr>
              <w:t xml:space="preserve">Confronting Challenges: </w:t>
            </w:r>
            <w:r w:rsidR="00D66F20">
              <w:rPr>
                <w:b/>
              </w:rPr>
              <w:t xml:space="preserve">Urban Issues </w:t>
            </w:r>
            <w:r w:rsidR="001330A2">
              <w:rPr>
                <w:b/>
              </w:rPr>
              <w:t>in a Global Perspective</w:t>
            </w:r>
          </w:p>
        </w:tc>
      </w:tr>
      <w:tr w:rsidR="00A46010" w:rsidTr="002D30A5">
        <w:tc>
          <w:tcPr>
            <w:tcW w:w="1162" w:type="dxa"/>
          </w:tcPr>
          <w:p w:rsidR="00A46010" w:rsidRDefault="00A46010" w:rsidP="002D30A5">
            <w:pPr>
              <w:jc w:val="center"/>
            </w:pPr>
            <w:r>
              <w:t>Time</w:t>
            </w:r>
          </w:p>
        </w:tc>
        <w:tc>
          <w:tcPr>
            <w:tcW w:w="2736" w:type="dxa"/>
          </w:tcPr>
          <w:p w:rsidR="00A46010" w:rsidRDefault="00A46010" w:rsidP="002D30A5">
            <w:pPr>
              <w:jc w:val="center"/>
            </w:pPr>
            <w:r>
              <w:t>Workshop</w:t>
            </w:r>
          </w:p>
        </w:tc>
        <w:tc>
          <w:tcPr>
            <w:tcW w:w="7077" w:type="dxa"/>
            <w:gridSpan w:val="2"/>
          </w:tcPr>
          <w:p w:rsidR="00A46010" w:rsidRDefault="00A46010" w:rsidP="002D30A5">
            <w:pPr>
              <w:jc w:val="center"/>
            </w:pPr>
            <w:r>
              <w:t>Speaker</w:t>
            </w:r>
          </w:p>
        </w:tc>
      </w:tr>
      <w:tr w:rsidR="00940796" w:rsidTr="002D30A5">
        <w:tc>
          <w:tcPr>
            <w:tcW w:w="1162" w:type="dxa"/>
          </w:tcPr>
          <w:p w:rsidR="00940796" w:rsidRDefault="00940796" w:rsidP="002D30A5">
            <w:pPr>
              <w:jc w:val="center"/>
            </w:pPr>
            <w:r>
              <w:t>8:30</w:t>
            </w:r>
          </w:p>
        </w:tc>
        <w:tc>
          <w:tcPr>
            <w:tcW w:w="9813" w:type="dxa"/>
            <w:gridSpan w:val="3"/>
          </w:tcPr>
          <w:p w:rsidR="00940796" w:rsidRDefault="00940796" w:rsidP="002D30A5">
            <w:pPr>
              <w:jc w:val="center"/>
            </w:pPr>
            <w:r>
              <w:t>Curriculum Planning</w:t>
            </w:r>
          </w:p>
        </w:tc>
      </w:tr>
      <w:tr w:rsidR="00A46010" w:rsidTr="002D30A5">
        <w:tc>
          <w:tcPr>
            <w:tcW w:w="1162" w:type="dxa"/>
          </w:tcPr>
          <w:p w:rsidR="00A46010" w:rsidRDefault="00D66F20" w:rsidP="002D30A5">
            <w:pPr>
              <w:jc w:val="center"/>
            </w:pPr>
            <w:r>
              <w:t>9:15</w:t>
            </w:r>
          </w:p>
        </w:tc>
        <w:tc>
          <w:tcPr>
            <w:tcW w:w="2736" w:type="dxa"/>
          </w:tcPr>
          <w:p w:rsidR="00A46010" w:rsidRDefault="00FE558D" w:rsidP="00FE558D">
            <w:pPr>
              <w:tabs>
                <w:tab w:val="left" w:pos="795"/>
              </w:tabs>
            </w:pPr>
            <w:r>
              <w:t xml:space="preserve">Immigration and </w:t>
            </w:r>
            <w:r w:rsidR="005E21CE">
              <w:t>Digital Media in an Urban Landscape</w:t>
            </w:r>
          </w:p>
        </w:tc>
        <w:tc>
          <w:tcPr>
            <w:tcW w:w="7077" w:type="dxa"/>
            <w:gridSpan w:val="2"/>
          </w:tcPr>
          <w:p w:rsidR="00A46010" w:rsidRDefault="0061476E" w:rsidP="002D30A5">
            <w:pPr>
              <w:jc w:val="center"/>
            </w:pPr>
            <w:r w:rsidRPr="0061476E">
              <w:rPr>
                <w:b/>
              </w:rPr>
              <w:t>Moses Shumow</w:t>
            </w:r>
            <w:r>
              <w:t>, Associate Professor, Journalism, FIU</w:t>
            </w:r>
          </w:p>
        </w:tc>
      </w:tr>
      <w:tr w:rsidR="00830E18" w:rsidTr="002D30A5">
        <w:tc>
          <w:tcPr>
            <w:tcW w:w="1162" w:type="dxa"/>
          </w:tcPr>
          <w:p w:rsidR="00830E18" w:rsidRDefault="007E3668" w:rsidP="002D30A5">
            <w:pPr>
              <w:jc w:val="center"/>
            </w:pPr>
            <w:r>
              <w:t>11</w:t>
            </w:r>
            <w:r w:rsidR="00D66F20">
              <w:t>:0</w:t>
            </w:r>
            <w:r w:rsidR="00830E18">
              <w:t>0</w:t>
            </w:r>
          </w:p>
        </w:tc>
        <w:tc>
          <w:tcPr>
            <w:tcW w:w="9813" w:type="dxa"/>
            <w:gridSpan w:val="3"/>
          </w:tcPr>
          <w:p w:rsidR="00830E18" w:rsidRDefault="00830E18" w:rsidP="002D30A5">
            <w:pPr>
              <w:jc w:val="center"/>
            </w:pPr>
            <w:r>
              <w:t>Lunch</w:t>
            </w:r>
          </w:p>
        </w:tc>
      </w:tr>
      <w:tr w:rsidR="00CD57B4" w:rsidTr="002D30A5">
        <w:tc>
          <w:tcPr>
            <w:tcW w:w="1162" w:type="dxa"/>
          </w:tcPr>
          <w:p w:rsidR="00CD57B4" w:rsidRDefault="00CD57B4" w:rsidP="002D30A5">
            <w:pPr>
              <w:jc w:val="center"/>
            </w:pPr>
            <w:r>
              <w:t>1</w:t>
            </w:r>
            <w:r w:rsidR="00D66F20">
              <w:t>1</w:t>
            </w:r>
            <w:r>
              <w:t>:30</w:t>
            </w:r>
          </w:p>
        </w:tc>
        <w:tc>
          <w:tcPr>
            <w:tcW w:w="9813" w:type="dxa"/>
            <w:gridSpan w:val="3"/>
            <w:vMerge w:val="restart"/>
          </w:tcPr>
          <w:p w:rsidR="004B1269" w:rsidRDefault="00EA237C" w:rsidP="002D30A5">
            <w:pPr>
              <w:jc w:val="center"/>
            </w:pPr>
            <w:r>
              <w:t xml:space="preserve">Digital </w:t>
            </w:r>
            <w:r w:rsidR="0061476E">
              <w:t xml:space="preserve">and Video </w:t>
            </w:r>
            <w:r>
              <w:t xml:space="preserve">Research: Group Research Trip to </w:t>
            </w:r>
            <w:r w:rsidR="004B1269">
              <w:t>Little Haiti</w:t>
            </w:r>
          </w:p>
          <w:p w:rsidR="000C2E80" w:rsidRPr="000C2E80" w:rsidRDefault="000C2E80" w:rsidP="002D30A5">
            <w:pPr>
              <w:jc w:val="center"/>
              <w:rPr>
                <w:b/>
              </w:rPr>
            </w:pPr>
            <w:r w:rsidRPr="000C2E80">
              <w:rPr>
                <w:b/>
              </w:rPr>
              <w:t>Drs. Sarah Mathews and Hilary Landorf</w:t>
            </w:r>
          </w:p>
        </w:tc>
      </w:tr>
      <w:tr w:rsidR="00CD57B4" w:rsidTr="002D30A5">
        <w:tc>
          <w:tcPr>
            <w:tcW w:w="1162" w:type="dxa"/>
            <w:tcBorders>
              <w:bottom w:val="single" w:sz="4" w:space="0" w:color="auto"/>
            </w:tcBorders>
          </w:tcPr>
          <w:p w:rsidR="00CD57B4" w:rsidRDefault="00CD57B4" w:rsidP="002D30A5">
            <w:pPr>
              <w:jc w:val="center"/>
            </w:pPr>
            <w:r>
              <w:t>3:30</w:t>
            </w:r>
          </w:p>
        </w:tc>
        <w:tc>
          <w:tcPr>
            <w:tcW w:w="9813" w:type="dxa"/>
            <w:gridSpan w:val="3"/>
            <w:vMerge/>
            <w:tcBorders>
              <w:bottom w:val="single" w:sz="4" w:space="0" w:color="auto"/>
            </w:tcBorders>
          </w:tcPr>
          <w:p w:rsidR="00CD57B4" w:rsidRDefault="00CD57B4" w:rsidP="002D30A5">
            <w:pPr>
              <w:jc w:val="center"/>
            </w:pPr>
          </w:p>
        </w:tc>
      </w:tr>
      <w:tr w:rsidR="00163764" w:rsidTr="002D30A5">
        <w:tc>
          <w:tcPr>
            <w:tcW w:w="10975" w:type="dxa"/>
            <w:gridSpan w:val="4"/>
            <w:tcBorders>
              <w:top w:val="single" w:sz="4" w:space="0" w:color="auto"/>
              <w:left w:val="nil"/>
              <w:bottom w:val="nil"/>
              <w:right w:val="nil"/>
            </w:tcBorders>
          </w:tcPr>
          <w:p w:rsidR="00163764" w:rsidRDefault="00163764" w:rsidP="002D30A5">
            <w:pPr>
              <w:jc w:val="center"/>
              <w:rPr>
                <w:b/>
              </w:rPr>
            </w:pPr>
          </w:p>
        </w:tc>
      </w:tr>
      <w:tr w:rsidR="00163764" w:rsidTr="002D30A5">
        <w:tc>
          <w:tcPr>
            <w:tcW w:w="10975" w:type="dxa"/>
            <w:gridSpan w:val="4"/>
            <w:tcBorders>
              <w:top w:val="nil"/>
              <w:left w:val="nil"/>
              <w:bottom w:val="single" w:sz="4" w:space="0" w:color="auto"/>
              <w:right w:val="nil"/>
            </w:tcBorders>
          </w:tcPr>
          <w:p w:rsidR="004B1269" w:rsidRDefault="004B1269" w:rsidP="002D30A5">
            <w:pPr>
              <w:jc w:val="center"/>
              <w:rPr>
                <w:b/>
              </w:rPr>
            </w:pPr>
          </w:p>
          <w:p w:rsidR="004B1269" w:rsidRDefault="004B1269" w:rsidP="002D30A5">
            <w:pPr>
              <w:jc w:val="center"/>
              <w:rPr>
                <w:b/>
              </w:rPr>
            </w:pPr>
          </w:p>
        </w:tc>
      </w:tr>
      <w:tr w:rsidR="00830E18" w:rsidTr="002D30A5">
        <w:tc>
          <w:tcPr>
            <w:tcW w:w="10975" w:type="dxa"/>
            <w:gridSpan w:val="4"/>
            <w:tcBorders>
              <w:top w:val="single" w:sz="4" w:space="0" w:color="auto"/>
            </w:tcBorders>
          </w:tcPr>
          <w:p w:rsidR="00830E18" w:rsidRPr="00EC1485" w:rsidRDefault="00517F78" w:rsidP="002D30A5">
            <w:pPr>
              <w:jc w:val="center"/>
              <w:rPr>
                <w:b/>
              </w:rPr>
            </w:pPr>
            <w:r>
              <w:rPr>
                <w:b/>
              </w:rPr>
              <w:t xml:space="preserve">Thursday, </w:t>
            </w:r>
            <w:r w:rsidR="00D66F20">
              <w:rPr>
                <w:b/>
              </w:rPr>
              <w:t xml:space="preserve">August </w:t>
            </w:r>
            <w:r w:rsidR="0061476E">
              <w:rPr>
                <w:b/>
              </w:rPr>
              <w:t>2</w:t>
            </w:r>
            <w:r w:rsidR="00D66F20">
              <w:rPr>
                <w:b/>
              </w:rPr>
              <w:t>, 201</w:t>
            </w:r>
            <w:r w:rsidR="00A73680">
              <w:rPr>
                <w:b/>
              </w:rPr>
              <w:t>8</w:t>
            </w:r>
          </w:p>
        </w:tc>
      </w:tr>
      <w:tr w:rsidR="00830E18" w:rsidTr="002D30A5">
        <w:tc>
          <w:tcPr>
            <w:tcW w:w="10975" w:type="dxa"/>
            <w:gridSpan w:val="4"/>
          </w:tcPr>
          <w:p w:rsidR="00830E18" w:rsidRPr="00EC1485" w:rsidRDefault="00B778B6" w:rsidP="002D30A5">
            <w:pPr>
              <w:jc w:val="center"/>
              <w:rPr>
                <w:b/>
              </w:rPr>
            </w:pPr>
            <w:r>
              <w:rPr>
                <w:b/>
              </w:rPr>
              <w:t>Constructive Problem Solving</w:t>
            </w:r>
            <w:r w:rsidR="00EA237C">
              <w:rPr>
                <w:b/>
              </w:rPr>
              <w:t xml:space="preserve">: </w:t>
            </w:r>
            <w:r w:rsidR="00ED61CA">
              <w:rPr>
                <w:b/>
              </w:rPr>
              <w:t xml:space="preserve">The Interconnectedness of </w:t>
            </w:r>
            <w:r>
              <w:rPr>
                <w:b/>
              </w:rPr>
              <w:t>Issues in the News</w:t>
            </w:r>
          </w:p>
        </w:tc>
      </w:tr>
      <w:tr w:rsidR="00220170" w:rsidTr="002D30A5">
        <w:tc>
          <w:tcPr>
            <w:tcW w:w="1162" w:type="dxa"/>
          </w:tcPr>
          <w:p w:rsidR="00220170" w:rsidRDefault="00220170" w:rsidP="002D30A5">
            <w:pPr>
              <w:jc w:val="center"/>
            </w:pPr>
            <w:r>
              <w:t>Time</w:t>
            </w:r>
          </w:p>
        </w:tc>
        <w:tc>
          <w:tcPr>
            <w:tcW w:w="4049" w:type="dxa"/>
            <w:gridSpan w:val="2"/>
          </w:tcPr>
          <w:p w:rsidR="00220170" w:rsidRDefault="00220170" w:rsidP="002D30A5">
            <w:pPr>
              <w:jc w:val="center"/>
            </w:pPr>
            <w:r>
              <w:t>Workshop</w:t>
            </w:r>
          </w:p>
        </w:tc>
        <w:tc>
          <w:tcPr>
            <w:tcW w:w="5764" w:type="dxa"/>
          </w:tcPr>
          <w:p w:rsidR="00220170" w:rsidRPr="00220170" w:rsidRDefault="00220170" w:rsidP="002D30A5">
            <w:pPr>
              <w:jc w:val="center"/>
            </w:pPr>
            <w:r w:rsidRPr="00220170">
              <w:t>Speaker</w:t>
            </w:r>
          </w:p>
        </w:tc>
      </w:tr>
      <w:tr w:rsidR="00940796" w:rsidTr="002D30A5">
        <w:tc>
          <w:tcPr>
            <w:tcW w:w="1162" w:type="dxa"/>
          </w:tcPr>
          <w:p w:rsidR="00940796" w:rsidRDefault="00940796" w:rsidP="002D30A5">
            <w:pPr>
              <w:jc w:val="center"/>
            </w:pPr>
            <w:r>
              <w:t>8:30</w:t>
            </w:r>
          </w:p>
        </w:tc>
        <w:tc>
          <w:tcPr>
            <w:tcW w:w="9813" w:type="dxa"/>
            <w:gridSpan w:val="3"/>
          </w:tcPr>
          <w:p w:rsidR="00940796" w:rsidRPr="00220170" w:rsidRDefault="00940796" w:rsidP="002D30A5">
            <w:pPr>
              <w:jc w:val="center"/>
            </w:pPr>
            <w:r>
              <w:t>Curriculum Planning</w:t>
            </w:r>
          </w:p>
        </w:tc>
      </w:tr>
      <w:tr w:rsidR="0061476E" w:rsidTr="002D30A5">
        <w:tc>
          <w:tcPr>
            <w:tcW w:w="1162" w:type="dxa"/>
          </w:tcPr>
          <w:p w:rsidR="0061476E" w:rsidRDefault="0061476E" w:rsidP="0061476E">
            <w:pPr>
              <w:jc w:val="center"/>
            </w:pPr>
            <w:r>
              <w:t>9:30</w:t>
            </w:r>
          </w:p>
        </w:tc>
        <w:tc>
          <w:tcPr>
            <w:tcW w:w="4049" w:type="dxa"/>
            <w:gridSpan w:val="2"/>
          </w:tcPr>
          <w:p w:rsidR="0061476E" w:rsidRDefault="0041635D" w:rsidP="0061476E">
            <w:pPr>
              <w:jc w:val="center"/>
            </w:pPr>
            <w:r>
              <w:t xml:space="preserve">The </w:t>
            </w:r>
            <w:proofErr w:type="spellStart"/>
            <w:r>
              <w:t>Twitt@rchive</w:t>
            </w:r>
            <w:proofErr w:type="spellEnd"/>
            <w:r>
              <w:t>: Using Twitter to Teach Research, Archives, and the Politics of Memory</w:t>
            </w:r>
          </w:p>
        </w:tc>
        <w:tc>
          <w:tcPr>
            <w:tcW w:w="5764" w:type="dxa"/>
          </w:tcPr>
          <w:p w:rsidR="0061476E" w:rsidRDefault="0061476E" w:rsidP="0061476E">
            <w:pPr>
              <w:jc w:val="center"/>
            </w:pPr>
            <w:r w:rsidRPr="00303296">
              <w:rPr>
                <w:b/>
              </w:rPr>
              <w:t xml:space="preserve">Micah </w:t>
            </w:r>
            <w:proofErr w:type="spellStart"/>
            <w:r w:rsidRPr="00303296">
              <w:rPr>
                <w:b/>
              </w:rPr>
              <w:t>Oezle</w:t>
            </w:r>
            <w:proofErr w:type="spellEnd"/>
            <w:r w:rsidRPr="00303296">
              <w:rPr>
                <w:b/>
              </w:rPr>
              <w:t xml:space="preserve">, </w:t>
            </w:r>
            <w:r w:rsidRPr="00303296">
              <w:t>Post-Doctoral Fellow,</w:t>
            </w:r>
            <w:r>
              <w:rPr>
                <w:b/>
              </w:rPr>
              <w:t xml:space="preserve"> </w:t>
            </w:r>
            <w:r w:rsidRPr="00303296">
              <w:t>History, FIU</w:t>
            </w:r>
          </w:p>
        </w:tc>
      </w:tr>
      <w:tr w:rsidR="0061476E" w:rsidTr="002D30A5">
        <w:tc>
          <w:tcPr>
            <w:tcW w:w="1162" w:type="dxa"/>
          </w:tcPr>
          <w:p w:rsidR="0061476E" w:rsidRDefault="0061476E" w:rsidP="0061476E">
            <w:pPr>
              <w:jc w:val="center"/>
            </w:pPr>
            <w:r>
              <w:t>12:00</w:t>
            </w:r>
          </w:p>
        </w:tc>
        <w:tc>
          <w:tcPr>
            <w:tcW w:w="4049" w:type="dxa"/>
            <w:gridSpan w:val="2"/>
            <w:tcBorders>
              <w:right w:val="single" w:sz="4" w:space="0" w:color="auto"/>
            </w:tcBorders>
          </w:tcPr>
          <w:p w:rsidR="0061476E" w:rsidRPr="007E131E" w:rsidRDefault="0061476E" w:rsidP="0061476E">
            <w:pPr>
              <w:pBdr>
                <w:right w:val="single" w:sz="4" w:space="4" w:color="auto"/>
              </w:pBdr>
              <w:jc w:val="center"/>
              <w:rPr>
                <w:b/>
              </w:rPr>
            </w:pPr>
            <w:r>
              <w:t>Curriculum Standards Discussion</w:t>
            </w:r>
          </w:p>
        </w:tc>
        <w:tc>
          <w:tcPr>
            <w:tcW w:w="5764" w:type="dxa"/>
            <w:tcBorders>
              <w:right w:val="single" w:sz="4" w:space="0" w:color="auto"/>
            </w:tcBorders>
          </w:tcPr>
          <w:p w:rsidR="0061476E" w:rsidRPr="007E131E" w:rsidRDefault="0061476E" w:rsidP="0061476E">
            <w:pPr>
              <w:pBdr>
                <w:right w:val="single" w:sz="4" w:space="4" w:color="auto"/>
              </w:pBdr>
              <w:jc w:val="center"/>
              <w:rPr>
                <w:b/>
              </w:rPr>
            </w:pPr>
            <w:r w:rsidRPr="00220170">
              <w:rPr>
                <w:b/>
              </w:rPr>
              <w:t>Dr. Sarah Mathews</w:t>
            </w:r>
          </w:p>
        </w:tc>
      </w:tr>
      <w:tr w:rsidR="0061476E" w:rsidTr="002D30A5">
        <w:tc>
          <w:tcPr>
            <w:tcW w:w="1162" w:type="dxa"/>
          </w:tcPr>
          <w:p w:rsidR="0061476E" w:rsidRDefault="0061476E" w:rsidP="0061476E">
            <w:pPr>
              <w:jc w:val="center"/>
            </w:pPr>
            <w:r>
              <w:t>12:30</w:t>
            </w:r>
          </w:p>
        </w:tc>
        <w:tc>
          <w:tcPr>
            <w:tcW w:w="9813" w:type="dxa"/>
            <w:gridSpan w:val="3"/>
          </w:tcPr>
          <w:p w:rsidR="0061476E" w:rsidRDefault="0061476E" w:rsidP="0061476E">
            <w:pPr>
              <w:jc w:val="center"/>
            </w:pPr>
            <w:r>
              <w:t>Lunch</w:t>
            </w:r>
          </w:p>
        </w:tc>
      </w:tr>
      <w:tr w:rsidR="0061476E" w:rsidTr="002D30A5">
        <w:tc>
          <w:tcPr>
            <w:tcW w:w="1162" w:type="dxa"/>
          </w:tcPr>
          <w:p w:rsidR="0061476E" w:rsidRDefault="0061476E" w:rsidP="0061476E">
            <w:pPr>
              <w:jc w:val="center"/>
            </w:pPr>
          </w:p>
        </w:tc>
        <w:tc>
          <w:tcPr>
            <w:tcW w:w="4049" w:type="dxa"/>
            <w:gridSpan w:val="2"/>
          </w:tcPr>
          <w:p w:rsidR="0061476E" w:rsidRDefault="0061476E" w:rsidP="0061476E">
            <w:pPr>
              <w:jc w:val="center"/>
            </w:pPr>
            <w:r>
              <w:t>Workshop</w:t>
            </w:r>
          </w:p>
        </w:tc>
        <w:tc>
          <w:tcPr>
            <w:tcW w:w="5764" w:type="dxa"/>
          </w:tcPr>
          <w:p w:rsidR="0061476E" w:rsidRDefault="0061476E" w:rsidP="0061476E">
            <w:pPr>
              <w:jc w:val="center"/>
            </w:pPr>
            <w:r>
              <w:t>Speaker</w:t>
            </w:r>
          </w:p>
        </w:tc>
      </w:tr>
      <w:tr w:rsidR="0061476E" w:rsidTr="002D30A5">
        <w:trPr>
          <w:trHeight w:val="562"/>
        </w:trPr>
        <w:tc>
          <w:tcPr>
            <w:tcW w:w="1162" w:type="dxa"/>
          </w:tcPr>
          <w:p w:rsidR="0061476E" w:rsidRDefault="0061476E" w:rsidP="0061476E">
            <w:pPr>
              <w:jc w:val="center"/>
            </w:pPr>
            <w:r>
              <w:t>1:30</w:t>
            </w:r>
          </w:p>
        </w:tc>
        <w:tc>
          <w:tcPr>
            <w:tcW w:w="4049" w:type="dxa"/>
            <w:gridSpan w:val="2"/>
          </w:tcPr>
          <w:p w:rsidR="0061476E" w:rsidRDefault="0041635D" w:rsidP="0083758D">
            <w:pPr>
              <w:pBdr>
                <w:right w:val="single" w:sz="4" w:space="4" w:color="auto"/>
              </w:pBdr>
              <w:jc w:val="center"/>
            </w:pPr>
            <w:r>
              <w:t>Digital Media Research: Editing Your Videos</w:t>
            </w:r>
          </w:p>
        </w:tc>
        <w:tc>
          <w:tcPr>
            <w:tcW w:w="5764" w:type="dxa"/>
          </w:tcPr>
          <w:p w:rsidR="0061476E" w:rsidRDefault="0061476E" w:rsidP="0061476E">
            <w:pPr>
              <w:jc w:val="center"/>
            </w:pPr>
            <w:r>
              <w:rPr>
                <w:b/>
              </w:rPr>
              <w:t xml:space="preserve">Mariusz Galczynski, </w:t>
            </w:r>
            <w:r w:rsidRPr="00A73680">
              <w:t>Managing Director, CIES</w:t>
            </w:r>
          </w:p>
          <w:p w:rsidR="0041635D" w:rsidRDefault="0041635D" w:rsidP="0061476E">
            <w:pPr>
              <w:jc w:val="center"/>
            </w:pPr>
            <w:r>
              <w:t>&amp;</w:t>
            </w:r>
          </w:p>
          <w:p w:rsidR="0041635D" w:rsidRPr="0041635D" w:rsidRDefault="0041635D" w:rsidP="0041635D">
            <w:pPr>
              <w:jc w:val="center"/>
              <w:rPr>
                <w:b/>
              </w:rPr>
            </w:pPr>
            <w:r w:rsidRPr="0041635D">
              <w:rPr>
                <w:b/>
              </w:rPr>
              <w:t>Dr. Sarah Mathews</w:t>
            </w:r>
          </w:p>
        </w:tc>
      </w:tr>
    </w:tbl>
    <w:p w:rsidR="00830E18" w:rsidRDefault="00830E18" w:rsidP="002D30A5">
      <w:pPr>
        <w:jc w:val="center"/>
      </w:pPr>
    </w:p>
    <w:p w:rsidR="00AA20D6" w:rsidRDefault="00AA20D6" w:rsidP="002D30A5">
      <w:pPr>
        <w:jc w:val="center"/>
      </w:pPr>
    </w:p>
    <w:p w:rsidR="00830E18" w:rsidRDefault="00830E18" w:rsidP="002D30A5">
      <w:pPr>
        <w:jc w:val="center"/>
      </w:pPr>
    </w:p>
    <w:tbl>
      <w:tblPr>
        <w:tblStyle w:val="TableGrid"/>
        <w:tblW w:w="10975" w:type="dxa"/>
        <w:tblLook w:val="04A0" w:firstRow="1" w:lastRow="0" w:firstColumn="1" w:lastColumn="0" w:noHBand="0" w:noVBand="1"/>
      </w:tblPr>
      <w:tblGrid>
        <w:gridCol w:w="1165"/>
        <w:gridCol w:w="9810"/>
      </w:tblGrid>
      <w:tr w:rsidR="00830E18" w:rsidTr="002D30A5">
        <w:tc>
          <w:tcPr>
            <w:tcW w:w="10975" w:type="dxa"/>
            <w:gridSpan w:val="2"/>
          </w:tcPr>
          <w:p w:rsidR="00830E18" w:rsidRPr="00EC1485" w:rsidRDefault="00830E18" w:rsidP="002D30A5">
            <w:pPr>
              <w:jc w:val="center"/>
              <w:rPr>
                <w:b/>
              </w:rPr>
            </w:pPr>
            <w:r>
              <w:rPr>
                <w:b/>
              </w:rPr>
              <w:t>Friday</w:t>
            </w:r>
            <w:r w:rsidR="00517F78">
              <w:rPr>
                <w:b/>
              </w:rPr>
              <w:t xml:space="preserve">, </w:t>
            </w:r>
            <w:r w:rsidR="00D66F20">
              <w:rPr>
                <w:b/>
              </w:rPr>
              <w:t xml:space="preserve">August </w:t>
            </w:r>
            <w:r w:rsidR="00A73680">
              <w:rPr>
                <w:b/>
              </w:rPr>
              <w:t>3</w:t>
            </w:r>
            <w:r w:rsidR="00D66F20">
              <w:rPr>
                <w:b/>
              </w:rPr>
              <w:t>, 201</w:t>
            </w:r>
            <w:r w:rsidR="00A73680">
              <w:rPr>
                <w:b/>
              </w:rPr>
              <w:t>8</w:t>
            </w:r>
          </w:p>
        </w:tc>
      </w:tr>
      <w:tr w:rsidR="00830E18" w:rsidTr="002D30A5">
        <w:tc>
          <w:tcPr>
            <w:tcW w:w="10975" w:type="dxa"/>
            <w:gridSpan w:val="2"/>
          </w:tcPr>
          <w:p w:rsidR="00830E18" w:rsidRPr="00EC1485" w:rsidRDefault="00EA237C" w:rsidP="002D30A5">
            <w:pPr>
              <w:jc w:val="center"/>
              <w:rPr>
                <w:b/>
              </w:rPr>
            </w:pPr>
            <w:r>
              <w:rPr>
                <w:b/>
              </w:rPr>
              <w:t>Inclusive Participatory Excellence: Global Learning for All</w:t>
            </w:r>
          </w:p>
        </w:tc>
      </w:tr>
      <w:tr w:rsidR="00081C49" w:rsidTr="002D30A5">
        <w:tc>
          <w:tcPr>
            <w:tcW w:w="1165" w:type="dxa"/>
          </w:tcPr>
          <w:p w:rsidR="00081C49" w:rsidRDefault="00081C49" w:rsidP="002D30A5">
            <w:pPr>
              <w:jc w:val="center"/>
            </w:pPr>
            <w:r>
              <w:t>Time</w:t>
            </w:r>
          </w:p>
        </w:tc>
        <w:tc>
          <w:tcPr>
            <w:tcW w:w="9810" w:type="dxa"/>
          </w:tcPr>
          <w:p w:rsidR="00081C49" w:rsidRDefault="00081C49" w:rsidP="002D30A5">
            <w:pPr>
              <w:jc w:val="center"/>
            </w:pPr>
            <w:r>
              <w:t>Workshop</w:t>
            </w:r>
          </w:p>
        </w:tc>
      </w:tr>
      <w:tr w:rsidR="00081C49" w:rsidTr="002D30A5">
        <w:trPr>
          <w:trHeight w:val="332"/>
        </w:trPr>
        <w:tc>
          <w:tcPr>
            <w:tcW w:w="1165" w:type="dxa"/>
          </w:tcPr>
          <w:p w:rsidR="00081C49" w:rsidRDefault="00081C49" w:rsidP="002D30A5">
            <w:pPr>
              <w:jc w:val="center"/>
            </w:pPr>
            <w:r>
              <w:t>8:30</w:t>
            </w:r>
          </w:p>
        </w:tc>
        <w:tc>
          <w:tcPr>
            <w:tcW w:w="9810" w:type="dxa"/>
          </w:tcPr>
          <w:p w:rsidR="00081C49" w:rsidRDefault="00081C49" w:rsidP="002D30A5">
            <w:pPr>
              <w:jc w:val="center"/>
            </w:pPr>
            <w:r>
              <w:t>Curriculum Planning</w:t>
            </w:r>
          </w:p>
        </w:tc>
      </w:tr>
      <w:tr w:rsidR="00721132" w:rsidTr="002D30A5">
        <w:tc>
          <w:tcPr>
            <w:tcW w:w="1165" w:type="dxa"/>
          </w:tcPr>
          <w:p w:rsidR="00721132" w:rsidRDefault="00721132" w:rsidP="002D30A5">
            <w:pPr>
              <w:jc w:val="center"/>
            </w:pPr>
            <w:r>
              <w:t>9:30</w:t>
            </w:r>
          </w:p>
        </w:tc>
        <w:tc>
          <w:tcPr>
            <w:tcW w:w="9810" w:type="dxa"/>
          </w:tcPr>
          <w:p w:rsidR="00721132" w:rsidRDefault="00721132" w:rsidP="002D30A5">
            <w:pPr>
              <w:jc w:val="center"/>
            </w:pPr>
            <w:r>
              <w:t xml:space="preserve">Digital </w:t>
            </w:r>
            <w:r w:rsidR="0061476E">
              <w:t xml:space="preserve">Media </w:t>
            </w:r>
            <w:r>
              <w:t>Research: Editing your Videos</w:t>
            </w:r>
          </w:p>
          <w:p w:rsidR="007E131E" w:rsidRPr="007E131E" w:rsidRDefault="007E131E" w:rsidP="002D30A5">
            <w:pPr>
              <w:jc w:val="center"/>
              <w:rPr>
                <w:b/>
              </w:rPr>
            </w:pPr>
            <w:r w:rsidRPr="007E131E">
              <w:rPr>
                <w:b/>
              </w:rPr>
              <w:t>Dr. Sarah Mathews</w:t>
            </w:r>
            <w:r w:rsidR="0061476E">
              <w:rPr>
                <w:b/>
              </w:rPr>
              <w:t xml:space="preserve"> </w:t>
            </w:r>
          </w:p>
        </w:tc>
      </w:tr>
      <w:tr w:rsidR="00A73680" w:rsidTr="002D30A5">
        <w:tc>
          <w:tcPr>
            <w:tcW w:w="1165" w:type="dxa"/>
          </w:tcPr>
          <w:p w:rsidR="00A73680" w:rsidRDefault="00A73680" w:rsidP="00A73680">
            <w:pPr>
              <w:jc w:val="center"/>
            </w:pPr>
            <w:r>
              <w:t>12:30</w:t>
            </w:r>
          </w:p>
        </w:tc>
        <w:tc>
          <w:tcPr>
            <w:tcW w:w="9810" w:type="dxa"/>
          </w:tcPr>
          <w:p w:rsidR="00A73680" w:rsidRDefault="00A73680" w:rsidP="00A73680">
            <w:pPr>
              <w:jc w:val="center"/>
            </w:pPr>
            <w:r>
              <w:t>Lunch</w:t>
            </w:r>
          </w:p>
        </w:tc>
      </w:tr>
      <w:tr w:rsidR="00A73680" w:rsidTr="002D30A5">
        <w:tc>
          <w:tcPr>
            <w:tcW w:w="1165" w:type="dxa"/>
          </w:tcPr>
          <w:p w:rsidR="00A73680" w:rsidRDefault="00A73680" w:rsidP="00A73680">
            <w:pPr>
              <w:jc w:val="center"/>
            </w:pPr>
            <w:r>
              <w:t>1:30</w:t>
            </w:r>
          </w:p>
        </w:tc>
        <w:tc>
          <w:tcPr>
            <w:tcW w:w="9810" w:type="dxa"/>
            <w:vMerge w:val="restart"/>
          </w:tcPr>
          <w:p w:rsidR="00A73680" w:rsidRDefault="00A73680" w:rsidP="00A73680">
            <w:pPr>
              <w:jc w:val="center"/>
            </w:pPr>
            <w:r>
              <w:t>Final Presentations of Digital Media Research and Debriefing</w:t>
            </w:r>
          </w:p>
          <w:p w:rsidR="00A73680" w:rsidRPr="007E131E" w:rsidRDefault="00A73680" w:rsidP="00A73680">
            <w:pPr>
              <w:jc w:val="center"/>
              <w:rPr>
                <w:b/>
              </w:rPr>
            </w:pPr>
            <w:r w:rsidRPr="007E131E">
              <w:rPr>
                <w:b/>
              </w:rPr>
              <w:t>Drs. Hilary Landorf and Sarah Mathews</w:t>
            </w:r>
          </w:p>
        </w:tc>
      </w:tr>
      <w:tr w:rsidR="00A73680" w:rsidTr="002D30A5">
        <w:tc>
          <w:tcPr>
            <w:tcW w:w="1165" w:type="dxa"/>
          </w:tcPr>
          <w:p w:rsidR="00A73680" w:rsidRDefault="00A73680" w:rsidP="00A73680">
            <w:pPr>
              <w:jc w:val="center"/>
            </w:pPr>
            <w:r>
              <w:t>3:30</w:t>
            </w:r>
          </w:p>
        </w:tc>
        <w:tc>
          <w:tcPr>
            <w:tcW w:w="9810" w:type="dxa"/>
            <w:vMerge/>
          </w:tcPr>
          <w:p w:rsidR="00A73680" w:rsidRDefault="00A73680" w:rsidP="00A73680">
            <w:pPr>
              <w:jc w:val="center"/>
            </w:pPr>
          </w:p>
        </w:tc>
      </w:tr>
    </w:tbl>
    <w:p w:rsidR="002D30A5" w:rsidRDefault="002D30A5" w:rsidP="00220170">
      <w:pPr>
        <w:spacing w:after="160"/>
        <w:rPr>
          <w:b/>
        </w:rPr>
      </w:pPr>
    </w:p>
    <w:p w:rsidR="002D30A5" w:rsidRDefault="002D30A5" w:rsidP="00220170">
      <w:pPr>
        <w:spacing w:after="160"/>
        <w:rPr>
          <w:b/>
        </w:rPr>
      </w:pPr>
    </w:p>
    <w:p w:rsidR="002D30A5" w:rsidRDefault="002D30A5" w:rsidP="00220170">
      <w:pPr>
        <w:spacing w:after="160"/>
        <w:rPr>
          <w:b/>
        </w:rPr>
      </w:pPr>
    </w:p>
    <w:p w:rsidR="002D30A5" w:rsidRDefault="002D30A5" w:rsidP="00220170">
      <w:pPr>
        <w:spacing w:after="160"/>
        <w:rPr>
          <w:b/>
        </w:rPr>
      </w:pPr>
    </w:p>
    <w:p w:rsidR="002D30A5" w:rsidRDefault="002D30A5" w:rsidP="00220170">
      <w:pPr>
        <w:spacing w:after="160"/>
        <w:rPr>
          <w:b/>
        </w:rPr>
      </w:pPr>
    </w:p>
    <w:p w:rsidR="002D30A5" w:rsidRDefault="002D30A5" w:rsidP="00220170">
      <w:pPr>
        <w:spacing w:after="160"/>
        <w:rPr>
          <w:b/>
        </w:rPr>
      </w:pPr>
    </w:p>
    <w:p w:rsidR="002D30A5" w:rsidRDefault="002D30A5" w:rsidP="00220170">
      <w:pPr>
        <w:spacing w:after="160"/>
        <w:rPr>
          <w:b/>
        </w:rPr>
      </w:pPr>
    </w:p>
    <w:p w:rsidR="0017659E" w:rsidRDefault="0017659E" w:rsidP="00220170">
      <w:pPr>
        <w:spacing w:after="160"/>
        <w:rPr>
          <w:b/>
        </w:rPr>
      </w:pPr>
    </w:p>
    <w:p w:rsidR="00CD57B4" w:rsidRPr="002D30A5" w:rsidRDefault="00220170" w:rsidP="00220170">
      <w:pPr>
        <w:spacing w:after="160"/>
        <w:rPr>
          <w:b/>
        </w:rPr>
      </w:pPr>
      <w:r w:rsidRPr="002D30A5">
        <w:rPr>
          <w:b/>
        </w:rPr>
        <w:lastRenderedPageBreak/>
        <w:t>A</w:t>
      </w:r>
      <w:r w:rsidR="00EA237C" w:rsidRPr="002D30A5">
        <w:rPr>
          <w:b/>
        </w:rPr>
        <w:t>bout the Kimberly Green Latin American and Caribbean Center</w:t>
      </w:r>
      <w:r w:rsidR="00CD57B4" w:rsidRPr="002D30A5">
        <w:rPr>
          <w:b/>
        </w:rPr>
        <w:t>:</w:t>
      </w:r>
    </w:p>
    <w:p w:rsidR="00CD57B4" w:rsidRPr="002D30A5" w:rsidRDefault="00CD57B4" w:rsidP="00CD57B4">
      <w:r w:rsidRPr="002D30A5">
        <w:t xml:space="preserve">The </w:t>
      </w:r>
      <w:r w:rsidR="00E60AE5" w:rsidRPr="002D30A5">
        <w:t xml:space="preserve">Kimberly Green </w:t>
      </w:r>
      <w:r w:rsidRPr="002D30A5">
        <w:t>Latin American and Caribbean Center</w:t>
      </w:r>
      <w:r w:rsidR="00E60AE5" w:rsidRPr="002D30A5">
        <w:t xml:space="preserve"> (LACC)</w:t>
      </w:r>
      <w:r w:rsidRPr="002D30A5">
        <w:t xml:space="preserve"> at Florida International University was founded in 1979 to promote the study of Latin America and the Caribbean in Florida and throughout the United States. By forging linkages across the Americas through high quality education, research aimed at better understanding and addressing the most urgent problems confronting the region. LACC is </w:t>
      </w:r>
      <w:r w:rsidR="0095063A" w:rsidRPr="002D30A5">
        <w:t>a US Department of Education-designated</w:t>
      </w:r>
      <w:r w:rsidRPr="002D30A5">
        <w:t xml:space="preserve"> National Resource Center on Latin America, recognizing it as one of the top Latin American and Caribbean Centers in the world.</w:t>
      </w:r>
    </w:p>
    <w:p w:rsidR="00CD57B4" w:rsidRPr="002D30A5" w:rsidRDefault="00CD57B4" w:rsidP="00CD57B4"/>
    <w:p w:rsidR="00CD57B4" w:rsidRPr="002D30A5" w:rsidRDefault="00CD57B4" w:rsidP="00CD57B4">
      <w:r w:rsidRPr="002D30A5">
        <w:t>LACC draws upon the expertise of one of the largest concentrations of Latin American and Caribbean Studies scholars of any university in the country, spanning a multitude of disciplines across colleges. LACC faculty associates have produced important scholarship in such areas as migration; U.S./Latin American relations; trade and integration in the Americas; indigenous cultures; economic stabilization and democratization; sustainable development; religion; environmental technology, and arts and humanities.</w:t>
      </w:r>
    </w:p>
    <w:p w:rsidR="00CD57B4" w:rsidRPr="002D30A5" w:rsidRDefault="00CD57B4" w:rsidP="00CD57B4"/>
    <w:p w:rsidR="00CD57B4" w:rsidRPr="002D30A5" w:rsidRDefault="00CD57B4" w:rsidP="00CD57B4">
      <w:r w:rsidRPr="002D30A5">
        <w:t>An integral component in FIU’s School of International and Public Affairs (SIPA), LACC offers a number of academic programs including a nationally recognized Master of Arts in Latin American and Caribbean Studies and several certificate degrees. Located in Miami, a city known as “The Gateway to Latin America,” LACC’s students and faculty study within the heart of the region, both physically and culturally, benefiting from unique opportunities for study and research. The interdisciplinary nature of LACC programs encourages students to think critically and creatively about major issues facing the hemisphere.</w:t>
      </w:r>
    </w:p>
    <w:p w:rsidR="00CD57B4" w:rsidRPr="002D30A5" w:rsidRDefault="00CD57B4" w:rsidP="00CD57B4"/>
    <w:p w:rsidR="009E0EC5" w:rsidRPr="002D30A5" w:rsidRDefault="00EA237C" w:rsidP="00CD57B4">
      <w:pPr>
        <w:spacing w:after="160"/>
        <w:rPr>
          <w:b/>
        </w:rPr>
      </w:pPr>
      <w:r w:rsidRPr="002D30A5">
        <w:rPr>
          <w:b/>
        </w:rPr>
        <w:t xml:space="preserve">About the Office of Global Learning Initiatives: </w:t>
      </w:r>
    </w:p>
    <w:p w:rsidR="0099328C" w:rsidRPr="002D30A5" w:rsidRDefault="0099328C" w:rsidP="0099328C">
      <w:pPr>
        <w:autoSpaceDE w:val="0"/>
        <w:autoSpaceDN w:val="0"/>
        <w:adjustRightInd w:val="0"/>
        <w:rPr>
          <w:rFonts w:eastAsia="Times New Roman"/>
        </w:rPr>
      </w:pPr>
      <w:r w:rsidRPr="002D30A5">
        <w:rPr>
          <w:rFonts w:eastAsia="Times New Roman"/>
        </w:rPr>
        <w:t xml:space="preserve">The Office of Global Learning Initiatives administers </w:t>
      </w:r>
      <w:r w:rsidRPr="002D30A5">
        <w:rPr>
          <w:rFonts w:eastAsia="Times New Roman"/>
          <w:i/>
          <w:iCs/>
        </w:rPr>
        <w:t>Global Learning for Global Citizenship</w:t>
      </w:r>
      <w:r w:rsidRPr="002D30A5">
        <w:rPr>
          <w:rFonts w:eastAsia="Times New Roman"/>
        </w:rPr>
        <w:t xml:space="preserve">, the centerpiece of internationalized undergraduate education at FIU. This integrated curriculum and co-curriculum initiative engages every student in multiple opportunities for active, team-based, interdisciplinary exploration of real-world problems. </w:t>
      </w:r>
    </w:p>
    <w:p w:rsidR="0099328C" w:rsidRPr="002D30A5" w:rsidRDefault="0099328C" w:rsidP="0099328C">
      <w:pPr>
        <w:autoSpaceDE w:val="0"/>
        <w:autoSpaceDN w:val="0"/>
        <w:adjustRightInd w:val="0"/>
        <w:rPr>
          <w:rFonts w:eastAsia="Times New Roman"/>
        </w:rPr>
      </w:pPr>
    </w:p>
    <w:p w:rsidR="0099328C" w:rsidRPr="002D30A5" w:rsidRDefault="0099328C" w:rsidP="0099328C">
      <w:pPr>
        <w:autoSpaceDE w:val="0"/>
        <w:autoSpaceDN w:val="0"/>
        <w:adjustRightInd w:val="0"/>
        <w:rPr>
          <w:rFonts w:eastAsia="Times New Roman"/>
        </w:rPr>
      </w:pPr>
      <w:r w:rsidRPr="002D30A5">
        <w:rPr>
          <w:rFonts w:eastAsia="Times New Roman"/>
        </w:rPr>
        <w:t xml:space="preserve">Capitalizing on FIU’s unique demographics and location in the gateway to the Americas, </w:t>
      </w:r>
      <w:r w:rsidRPr="002D30A5">
        <w:rPr>
          <w:rFonts w:eastAsia="Times New Roman"/>
          <w:i/>
          <w:iCs/>
        </w:rPr>
        <w:t>Global Learning for Global</w:t>
      </w:r>
      <w:r w:rsidRPr="002D30A5">
        <w:rPr>
          <w:rFonts w:eastAsia="Times New Roman"/>
        </w:rPr>
        <w:t xml:space="preserve"> </w:t>
      </w:r>
      <w:r w:rsidRPr="002D30A5">
        <w:rPr>
          <w:rFonts w:eastAsia="Times New Roman"/>
          <w:i/>
          <w:iCs/>
        </w:rPr>
        <w:t xml:space="preserve">Citizenship </w:t>
      </w:r>
      <w:r w:rsidRPr="002D30A5">
        <w:rPr>
          <w:rFonts w:eastAsia="Times New Roman"/>
        </w:rPr>
        <w:t xml:space="preserve">enables students to achieve specific learning outcomes: global awareness, global perspective, and global engagement. More than </w:t>
      </w:r>
      <w:r w:rsidR="0068140F">
        <w:rPr>
          <w:rFonts w:eastAsia="Times New Roman"/>
        </w:rPr>
        <w:t>200</w:t>
      </w:r>
      <w:r w:rsidRPr="002D30A5">
        <w:rPr>
          <w:rFonts w:eastAsia="Times New Roman"/>
        </w:rPr>
        <w:t xml:space="preserve"> global learning courses have been developed by faculty in nearly every academic department. Students in global learning courses enhance and extend their scholarship through participation in integrated co-curricular activities.</w:t>
      </w:r>
    </w:p>
    <w:p w:rsidR="0099328C" w:rsidRPr="002D30A5" w:rsidRDefault="0099328C" w:rsidP="0099328C">
      <w:pPr>
        <w:autoSpaceDE w:val="0"/>
        <w:autoSpaceDN w:val="0"/>
        <w:adjustRightInd w:val="0"/>
        <w:rPr>
          <w:rFonts w:eastAsia="Times New Roman"/>
        </w:rPr>
      </w:pPr>
    </w:p>
    <w:p w:rsidR="0099328C" w:rsidRDefault="0099328C" w:rsidP="0099328C">
      <w:pPr>
        <w:autoSpaceDE w:val="0"/>
        <w:autoSpaceDN w:val="0"/>
        <w:adjustRightInd w:val="0"/>
        <w:rPr>
          <w:rFonts w:eastAsia="Times New Roman"/>
        </w:rPr>
      </w:pPr>
      <w:r w:rsidRPr="002D30A5">
        <w:rPr>
          <w:rFonts w:eastAsia="Times New Roman"/>
        </w:rPr>
        <w:t xml:space="preserve">The Office administers a large number of programs including Peace Corps Prep at FIU, through a formal partnership with the Peace Corps national office, </w:t>
      </w:r>
      <w:r w:rsidR="0068140F">
        <w:rPr>
          <w:rFonts w:eastAsia="Times New Roman"/>
        </w:rPr>
        <w:t xml:space="preserve">the Global Learning Medallion program, the </w:t>
      </w:r>
      <w:r w:rsidRPr="002D30A5">
        <w:rPr>
          <w:rFonts w:eastAsia="Times New Roman"/>
        </w:rPr>
        <w:t xml:space="preserve">Tuesday Times Roundtable, </w:t>
      </w:r>
      <w:r w:rsidR="0068140F">
        <w:rPr>
          <w:rFonts w:eastAsia="Times New Roman"/>
        </w:rPr>
        <w:t>global learning student clubs, internships, and a host of other activities.</w:t>
      </w:r>
    </w:p>
    <w:p w:rsidR="0068140F" w:rsidRPr="002D30A5" w:rsidRDefault="0068140F" w:rsidP="0099328C">
      <w:pPr>
        <w:autoSpaceDE w:val="0"/>
        <w:autoSpaceDN w:val="0"/>
        <w:adjustRightInd w:val="0"/>
        <w:rPr>
          <w:rFonts w:eastAsia="Times New Roman"/>
        </w:rPr>
      </w:pPr>
    </w:p>
    <w:p w:rsidR="0099328C" w:rsidRPr="002D30A5" w:rsidRDefault="0099328C" w:rsidP="0099328C">
      <w:pPr>
        <w:autoSpaceDE w:val="0"/>
        <w:autoSpaceDN w:val="0"/>
        <w:adjustRightInd w:val="0"/>
        <w:rPr>
          <w:rFonts w:eastAsia="Times New Roman"/>
        </w:rPr>
      </w:pPr>
      <w:r w:rsidRPr="002D30A5">
        <w:rPr>
          <w:rFonts w:eastAsia="Times New Roman"/>
        </w:rPr>
        <w:t>The Institute of International Education honored FIU with its 2016 Andrew Heiskell</w:t>
      </w:r>
    </w:p>
    <w:p w:rsidR="0099328C" w:rsidRPr="002D30A5" w:rsidRDefault="0099328C" w:rsidP="0099328C">
      <w:pPr>
        <w:autoSpaceDE w:val="0"/>
        <w:autoSpaceDN w:val="0"/>
        <w:adjustRightInd w:val="0"/>
        <w:rPr>
          <w:rFonts w:eastAsia="Times New Roman"/>
          <w:i/>
          <w:iCs/>
        </w:rPr>
      </w:pPr>
      <w:r w:rsidRPr="002D30A5">
        <w:rPr>
          <w:rFonts w:eastAsia="Times New Roman"/>
        </w:rPr>
        <w:t xml:space="preserve">Award for Internationalizing the Campus for the university’s game-changing </w:t>
      </w:r>
      <w:r w:rsidRPr="002D30A5">
        <w:rPr>
          <w:rFonts w:eastAsia="Times New Roman"/>
          <w:i/>
          <w:iCs/>
        </w:rPr>
        <w:t xml:space="preserve">Global Learning for Global Citizenship </w:t>
      </w:r>
      <w:r w:rsidRPr="002D30A5">
        <w:rPr>
          <w:rFonts w:eastAsia="Times New Roman"/>
        </w:rPr>
        <w:t>initiative.</w:t>
      </w:r>
    </w:p>
    <w:p w:rsidR="0099328C" w:rsidRPr="002D30A5" w:rsidRDefault="0099328C" w:rsidP="00CD57B4">
      <w:pPr>
        <w:spacing w:after="160"/>
        <w:rPr>
          <w:b/>
        </w:rPr>
      </w:pPr>
    </w:p>
    <w:p w:rsidR="0017659E" w:rsidRDefault="0017659E" w:rsidP="00CD57B4">
      <w:pPr>
        <w:spacing w:after="160"/>
        <w:rPr>
          <w:b/>
        </w:rPr>
      </w:pPr>
    </w:p>
    <w:p w:rsidR="0017659E" w:rsidRDefault="0017659E" w:rsidP="00CD57B4">
      <w:pPr>
        <w:spacing w:after="160"/>
        <w:rPr>
          <w:b/>
        </w:rPr>
      </w:pPr>
    </w:p>
    <w:p w:rsidR="0017659E" w:rsidRDefault="0017659E" w:rsidP="00CD57B4">
      <w:pPr>
        <w:spacing w:after="160"/>
        <w:rPr>
          <w:b/>
        </w:rPr>
      </w:pPr>
    </w:p>
    <w:p w:rsidR="0017659E" w:rsidRDefault="0017659E" w:rsidP="00CD57B4">
      <w:pPr>
        <w:spacing w:after="160"/>
        <w:rPr>
          <w:b/>
        </w:rPr>
      </w:pPr>
    </w:p>
    <w:p w:rsidR="0017659E" w:rsidRDefault="0017659E" w:rsidP="00CD57B4">
      <w:pPr>
        <w:spacing w:after="160"/>
        <w:rPr>
          <w:b/>
        </w:rPr>
      </w:pPr>
    </w:p>
    <w:p w:rsidR="0017659E" w:rsidRDefault="00220170" w:rsidP="00CD57B4">
      <w:pPr>
        <w:spacing w:after="160"/>
        <w:rPr>
          <w:b/>
        </w:rPr>
      </w:pPr>
      <w:r w:rsidRPr="002D30A5">
        <w:rPr>
          <w:b/>
        </w:rPr>
        <w:lastRenderedPageBreak/>
        <w:t xml:space="preserve">About the Education Effect: </w:t>
      </w:r>
    </w:p>
    <w:p w:rsidR="006B5646" w:rsidRPr="002D30A5" w:rsidRDefault="006B5646" w:rsidP="00CD57B4">
      <w:pPr>
        <w:spacing w:after="160"/>
      </w:pPr>
      <w:r w:rsidRPr="002D30A5">
        <w:rPr>
          <w:b/>
        </w:rPr>
        <w:t xml:space="preserve">The Education Effect is </w:t>
      </w:r>
      <w:r w:rsidRPr="002D30A5">
        <w:t xml:space="preserve">partnership between private donors, Florida International University and Miami-Dade County Public Schools (M-DCPS) aimed at student achievement in underserved schools. </w:t>
      </w:r>
    </w:p>
    <w:p w:rsidR="0017659E" w:rsidRDefault="006B5646" w:rsidP="00CD57B4">
      <w:pPr>
        <w:spacing w:after="160"/>
      </w:pPr>
      <w:r w:rsidRPr="002D30A5">
        <w:t xml:space="preserve">Initially introduced in 2011 at Miami Northwestern Senior High School in Liberty City, with a $1 million gift from JPMorgan Chase, the program has grown and expanded to two additional schools and communities. In 2013, the Lennar Foundation made a $1 million gift to bring The Education Effect to Booker T. Washington </w:t>
      </w:r>
    </w:p>
    <w:p w:rsidR="006B5646" w:rsidRPr="002D30A5" w:rsidRDefault="006B5646" w:rsidP="00CD57B4">
      <w:pPr>
        <w:spacing w:after="160"/>
      </w:pPr>
      <w:r w:rsidRPr="002D30A5">
        <w:t xml:space="preserve">Senior High School in </w:t>
      </w:r>
      <w:proofErr w:type="spellStart"/>
      <w:r w:rsidRPr="002D30A5">
        <w:t>Overtown</w:t>
      </w:r>
      <w:proofErr w:type="spellEnd"/>
      <w:r w:rsidRPr="002D30A5">
        <w:t xml:space="preserve"> and Rose Ellen Greene, a longtime school volunteer at Jesse J. McCrary, Jr. Elementary in Little Haiti, donated $2 million to implement The Education Effect at the elementary school. </w:t>
      </w:r>
    </w:p>
    <w:p w:rsidR="00220170" w:rsidRPr="002D30A5" w:rsidRDefault="006B5646" w:rsidP="00CD57B4">
      <w:pPr>
        <w:spacing w:after="160"/>
      </w:pPr>
      <w:r w:rsidRPr="002D30A5">
        <w:t xml:space="preserve">Focused on improving teaching and learning, and creating a college-bound culture, </w:t>
      </w:r>
      <w:r w:rsidRPr="002D30A5">
        <w:br/>
        <w:t>The Education Effect takes a holistic approach. Working with students from elementary school through high school, the program trains teachers, offers academic enrichment in science, technology, engineering, math (STEM) subjects, and works to increase parent and community engagement with the schools.</w:t>
      </w:r>
    </w:p>
    <w:p w:rsidR="006B5646" w:rsidRPr="002D30A5" w:rsidRDefault="006B5646" w:rsidP="006B5646">
      <w:pPr>
        <w:pStyle w:val="NormalWeb"/>
      </w:pPr>
      <w:r w:rsidRPr="002D30A5">
        <w:t>At Miami Northwestern, the graduation rate has increased more than 18 percent since the partnership began. In addition to the improved graduation rate at Miami Northwestern, the Education Effect has also helped lead to an improved school grade at Booker T. Washington, increased college readiness test scores and a college acceptance rate of 48% by its 2016 graduates, with students enrolling at colleges and universities across the country.</w:t>
      </w:r>
    </w:p>
    <w:p w:rsidR="006B5646" w:rsidRPr="002D30A5" w:rsidRDefault="006B5646" w:rsidP="006B5646">
      <w:pPr>
        <w:pStyle w:val="NormalWeb"/>
      </w:pPr>
      <w:r w:rsidRPr="002D30A5">
        <w:t>These results are what donors JPMorgan Chase, the Lennar Foundation, and Rose Ellen Greene had in mind when they partnered with FIU to close the “opportunity gap” that exists for at-risk students from lower socioeconomic backgrounds in Miami. The enriched, supportive, and highly engaged learning environment fostered by the Education Effect has helped students thrive in school and achieve their dreams of going to college.</w:t>
      </w:r>
    </w:p>
    <w:p w:rsidR="0017659E" w:rsidRDefault="002D30A5" w:rsidP="002D30A5">
      <w:pPr>
        <w:rPr>
          <w:b/>
        </w:rPr>
      </w:pPr>
      <w:r w:rsidRPr="002D30A5">
        <w:rPr>
          <w:b/>
        </w:rPr>
        <w:t xml:space="preserve">About </w:t>
      </w:r>
      <w:proofErr w:type="spellStart"/>
      <w:r w:rsidRPr="002D30A5">
        <w:rPr>
          <w:b/>
        </w:rPr>
        <w:t>dLOC</w:t>
      </w:r>
      <w:proofErr w:type="spellEnd"/>
      <w:r w:rsidRPr="002D30A5">
        <w:rPr>
          <w:b/>
        </w:rPr>
        <w:t xml:space="preserve">: </w:t>
      </w:r>
    </w:p>
    <w:p w:rsidR="0017659E" w:rsidRDefault="0017659E" w:rsidP="002D30A5">
      <w:pPr>
        <w:rPr>
          <w:b/>
        </w:rPr>
      </w:pPr>
    </w:p>
    <w:p w:rsidR="002D30A5" w:rsidRPr="002D30A5" w:rsidRDefault="002D30A5" w:rsidP="002D30A5">
      <w:r w:rsidRPr="002D30A5">
        <w:rPr>
          <w:b/>
        </w:rPr>
        <w:t>The Digital Library of the Caribbean (</w:t>
      </w:r>
      <w:proofErr w:type="spellStart"/>
      <w:r w:rsidRPr="002D30A5">
        <w:rPr>
          <w:b/>
        </w:rPr>
        <w:t>dLOC</w:t>
      </w:r>
      <w:proofErr w:type="spellEnd"/>
      <w:r w:rsidRPr="002D30A5">
        <w:rPr>
          <w:b/>
        </w:rPr>
        <w:t>)</w:t>
      </w:r>
      <w:r w:rsidRPr="002D30A5">
        <w:t xml:space="preserve"> is a cooperative of partners within the Caribbean and circum-Caribbean that provides users with access to Caribbean cultural, historical and research materials held in archives, libraries, and private collections. </w:t>
      </w:r>
      <w:proofErr w:type="spellStart"/>
      <w:r w:rsidRPr="002D30A5">
        <w:t>dLOC</w:t>
      </w:r>
      <w:proofErr w:type="spellEnd"/>
      <w:r w:rsidRPr="002D30A5">
        <w:t xml:space="preserve"> comprises collections that speak to the similarities and differences in histories, cultures, languages and governmental systems. Types of collections include but are not limited to: newspapers, archives of Caribbean leaders and governments, official documents, documentation and numeric data for ecosystems, scientific scholarship, historic and contemporary maps, oral and popular histories, travel accounts, literature and poetry, musical expressions, and artifacts. </w:t>
      </w:r>
    </w:p>
    <w:p w:rsidR="002D30A5" w:rsidRPr="002D30A5" w:rsidRDefault="002D30A5" w:rsidP="002D30A5"/>
    <w:p w:rsidR="002D30A5" w:rsidRPr="002D30A5" w:rsidRDefault="002D30A5" w:rsidP="002D30A5">
      <w:r w:rsidRPr="002D30A5">
        <w:t>The Digital Library of the Caribbean’s (</w:t>
      </w:r>
      <w:proofErr w:type="spellStart"/>
      <w:r w:rsidRPr="002D30A5">
        <w:t>dLOC</w:t>
      </w:r>
      <w:proofErr w:type="spellEnd"/>
      <w:r w:rsidRPr="002D30A5">
        <w:t xml:space="preserve">) diverse partners serve an international community of scholars, students, and peoples by working together to preserve and to provide enhanced electronic access to cultural, historical, legal, governmental, and research materials in a common web space with a multilingual interface. </w:t>
      </w:r>
      <w:proofErr w:type="spellStart"/>
      <w:r w:rsidRPr="002D30A5">
        <w:t>dLOC's</w:t>
      </w:r>
      <w:proofErr w:type="spellEnd"/>
      <w:r w:rsidRPr="002D30A5">
        <w:t xml:space="preserve"> partners collaborate with scholars and teachers for promoting and performing educational outreach on Caribbean Studies, developing new works of digital scholarship, and pursuing other research and teaching initiatives. </w:t>
      </w:r>
    </w:p>
    <w:p w:rsidR="002D30A5" w:rsidRPr="002D30A5" w:rsidRDefault="002D30A5" w:rsidP="002D30A5"/>
    <w:p w:rsidR="002D30A5" w:rsidRDefault="002D30A5" w:rsidP="002D30A5">
      <w:r w:rsidRPr="002D30A5">
        <w:t xml:space="preserve">Administered by Florida International University in partnership with the University of the Virgin Islands, and with the University of Florida serving as the technical host for the technical infrastructure, </w:t>
      </w:r>
      <w:proofErr w:type="spellStart"/>
      <w:r w:rsidRPr="002D30A5">
        <w:t>dLOC</w:t>
      </w:r>
      <w:proofErr w:type="spellEnd"/>
      <w:r w:rsidRPr="002D30A5">
        <w:t xml:space="preserve"> is the premier digital Caribbean content library on the world.</w:t>
      </w:r>
    </w:p>
    <w:sectPr w:rsidR="002D30A5" w:rsidSect="002D30A5">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82A" w:rsidRDefault="006E382A" w:rsidP="005B513B">
      <w:r>
        <w:separator/>
      </w:r>
    </w:p>
  </w:endnote>
  <w:endnote w:type="continuationSeparator" w:id="0">
    <w:p w:rsidR="006E382A" w:rsidRDefault="006E382A" w:rsidP="005B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82A" w:rsidRDefault="006E382A" w:rsidP="005B513B">
      <w:r>
        <w:separator/>
      </w:r>
    </w:p>
  </w:footnote>
  <w:footnote w:type="continuationSeparator" w:id="0">
    <w:p w:rsidR="006E382A" w:rsidRDefault="006E382A" w:rsidP="005B5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3B" w:rsidRPr="00C74F16" w:rsidRDefault="00C74F16">
    <w:pPr>
      <w:pStyle w:val="Header"/>
      <w:rPr>
        <w:sz w:val="20"/>
        <w:szCs w:val="20"/>
      </w:rPr>
    </w:pPr>
    <w:r w:rsidRPr="00C74F16">
      <w:rPr>
        <w:b/>
        <w:sz w:val="20"/>
        <w:szCs w:val="20"/>
      </w:rPr>
      <w:t>Global Issues and Digital Media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F20"/>
    <w:multiLevelType w:val="hybridMultilevel"/>
    <w:tmpl w:val="316E9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851C78"/>
    <w:multiLevelType w:val="hybridMultilevel"/>
    <w:tmpl w:val="B928B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0962E3"/>
    <w:multiLevelType w:val="hybridMultilevel"/>
    <w:tmpl w:val="C1C2A3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600046"/>
    <w:multiLevelType w:val="hybridMultilevel"/>
    <w:tmpl w:val="4FA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F4EAC"/>
    <w:multiLevelType w:val="hybridMultilevel"/>
    <w:tmpl w:val="CCDCA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473ED"/>
    <w:multiLevelType w:val="hybridMultilevel"/>
    <w:tmpl w:val="CD06F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E046AC"/>
    <w:multiLevelType w:val="hybridMultilevel"/>
    <w:tmpl w:val="07B65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4029F"/>
    <w:multiLevelType w:val="multilevel"/>
    <w:tmpl w:val="9A34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C26082"/>
    <w:multiLevelType w:val="hybridMultilevel"/>
    <w:tmpl w:val="45D43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D14539"/>
    <w:multiLevelType w:val="hybridMultilevel"/>
    <w:tmpl w:val="978C6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7247C7"/>
    <w:multiLevelType w:val="hybridMultilevel"/>
    <w:tmpl w:val="CD828D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2C3BF0"/>
    <w:multiLevelType w:val="multilevel"/>
    <w:tmpl w:val="3A58C9A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57645160"/>
    <w:multiLevelType w:val="multilevel"/>
    <w:tmpl w:val="2568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513360"/>
    <w:multiLevelType w:val="hybridMultilevel"/>
    <w:tmpl w:val="3B64B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212EA"/>
    <w:multiLevelType w:val="hybridMultilevel"/>
    <w:tmpl w:val="79C05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E696191"/>
    <w:multiLevelType w:val="multilevel"/>
    <w:tmpl w:val="AACA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687B75"/>
    <w:multiLevelType w:val="multilevel"/>
    <w:tmpl w:val="39968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5"/>
  </w:num>
  <w:num w:numId="4">
    <w:abstractNumId w:val="13"/>
  </w:num>
  <w:num w:numId="5">
    <w:abstractNumId w:val="0"/>
  </w:num>
  <w:num w:numId="6">
    <w:abstractNumId w:val="3"/>
  </w:num>
  <w:num w:numId="7">
    <w:abstractNumId w:val="16"/>
  </w:num>
  <w:num w:numId="8">
    <w:abstractNumId w:val="7"/>
  </w:num>
  <w:num w:numId="9">
    <w:abstractNumId w:val="12"/>
  </w:num>
  <w:num w:numId="10">
    <w:abstractNumId w:val="15"/>
  </w:num>
  <w:num w:numId="11">
    <w:abstractNumId w:val="9"/>
  </w:num>
  <w:num w:numId="12">
    <w:abstractNumId w:val="11"/>
  </w:num>
  <w:num w:numId="13">
    <w:abstractNumId w:val="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F6"/>
    <w:rsid w:val="0008126B"/>
    <w:rsid w:val="00081C49"/>
    <w:rsid w:val="000B5A86"/>
    <w:rsid w:val="000C2E80"/>
    <w:rsid w:val="001330A2"/>
    <w:rsid w:val="00163764"/>
    <w:rsid w:val="0017659E"/>
    <w:rsid w:val="001828A1"/>
    <w:rsid w:val="00207E84"/>
    <w:rsid w:val="00211424"/>
    <w:rsid w:val="002128D3"/>
    <w:rsid w:val="00220170"/>
    <w:rsid w:val="002869B1"/>
    <w:rsid w:val="002D30A5"/>
    <w:rsid w:val="002E48D9"/>
    <w:rsid w:val="002F2407"/>
    <w:rsid w:val="00302B80"/>
    <w:rsid w:val="0030303B"/>
    <w:rsid w:val="00303296"/>
    <w:rsid w:val="003679D6"/>
    <w:rsid w:val="003B458D"/>
    <w:rsid w:val="003D1FFD"/>
    <w:rsid w:val="003F385C"/>
    <w:rsid w:val="003F7F69"/>
    <w:rsid w:val="00412505"/>
    <w:rsid w:val="0041635D"/>
    <w:rsid w:val="00465FA8"/>
    <w:rsid w:val="00485EA8"/>
    <w:rsid w:val="004951D3"/>
    <w:rsid w:val="00496E5D"/>
    <w:rsid w:val="004B1269"/>
    <w:rsid w:val="004B7154"/>
    <w:rsid w:val="004D53A7"/>
    <w:rsid w:val="00517F78"/>
    <w:rsid w:val="005418CE"/>
    <w:rsid w:val="005B513B"/>
    <w:rsid w:val="005E0152"/>
    <w:rsid w:val="005E21CE"/>
    <w:rsid w:val="00611F15"/>
    <w:rsid w:val="0061476E"/>
    <w:rsid w:val="00627BF6"/>
    <w:rsid w:val="006574BE"/>
    <w:rsid w:val="0068140F"/>
    <w:rsid w:val="00683F9A"/>
    <w:rsid w:val="006930B3"/>
    <w:rsid w:val="006B5646"/>
    <w:rsid w:val="006B60AE"/>
    <w:rsid w:val="006C769D"/>
    <w:rsid w:val="006E382A"/>
    <w:rsid w:val="00700369"/>
    <w:rsid w:val="00721132"/>
    <w:rsid w:val="007255DD"/>
    <w:rsid w:val="00752C30"/>
    <w:rsid w:val="0075375D"/>
    <w:rsid w:val="0079035E"/>
    <w:rsid w:val="007A53F3"/>
    <w:rsid w:val="007B7AA0"/>
    <w:rsid w:val="007E131E"/>
    <w:rsid w:val="007E3668"/>
    <w:rsid w:val="00817261"/>
    <w:rsid w:val="00830E18"/>
    <w:rsid w:val="0083758D"/>
    <w:rsid w:val="008874C3"/>
    <w:rsid w:val="008B4484"/>
    <w:rsid w:val="008B6C84"/>
    <w:rsid w:val="008C4F5F"/>
    <w:rsid w:val="008F3C10"/>
    <w:rsid w:val="009015C0"/>
    <w:rsid w:val="009305DF"/>
    <w:rsid w:val="00940796"/>
    <w:rsid w:val="0095063A"/>
    <w:rsid w:val="0099328C"/>
    <w:rsid w:val="009E0EC5"/>
    <w:rsid w:val="00A137E2"/>
    <w:rsid w:val="00A46010"/>
    <w:rsid w:val="00A73680"/>
    <w:rsid w:val="00AA20D6"/>
    <w:rsid w:val="00B01FD4"/>
    <w:rsid w:val="00B15F79"/>
    <w:rsid w:val="00B279B4"/>
    <w:rsid w:val="00B56B1A"/>
    <w:rsid w:val="00B778B6"/>
    <w:rsid w:val="00B846B1"/>
    <w:rsid w:val="00BC4395"/>
    <w:rsid w:val="00BC4BEF"/>
    <w:rsid w:val="00C74F16"/>
    <w:rsid w:val="00C81545"/>
    <w:rsid w:val="00C83978"/>
    <w:rsid w:val="00C9496E"/>
    <w:rsid w:val="00CA5BB0"/>
    <w:rsid w:val="00CD57B4"/>
    <w:rsid w:val="00CE4597"/>
    <w:rsid w:val="00D11EAF"/>
    <w:rsid w:val="00D12157"/>
    <w:rsid w:val="00D23D25"/>
    <w:rsid w:val="00D351FE"/>
    <w:rsid w:val="00D47A0D"/>
    <w:rsid w:val="00D564D6"/>
    <w:rsid w:val="00D66F20"/>
    <w:rsid w:val="00D84863"/>
    <w:rsid w:val="00DA0D98"/>
    <w:rsid w:val="00DB4D6E"/>
    <w:rsid w:val="00DC35FB"/>
    <w:rsid w:val="00DE1EB0"/>
    <w:rsid w:val="00DE7E6B"/>
    <w:rsid w:val="00E60AE5"/>
    <w:rsid w:val="00E61F82"/>
    <w:rsid w:val="00E86F32"/>
    <w:rsid w:val="00EA233B"/>
    <w:rsid w:val="00EA237C"/>
    <w:rsid w:val="00EC1485"/>
    <w:rsid w:val="00ED61CA"/>
    <w:rsid w:val="00EF7E39"/>
    <w:rsid w:val="00FA6FA1"/>
    <w:rsid w:val="00FB0A2B"/>
    <w:rsid w:val="00FB67C0"/>
    <w:rsid w:val="00FB7C16"/>
    <w:rsid w:val="00FE5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FFCB7"/>
  <w15:docId w15:val="{53F73364-6D90-4232-9FFF-D87A0FD8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ヒラギノ角ゴ Pro W3"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B7C16"/>
    <w:pPr>
      <w:spacing w:after="0"/>
    </w:pPr>
    <w:rPr>
      <w:rFonts w:ascii="Times New Roman" w:hAnsi="Times New Roman" w:cs="Times New Roman"/>
      <w:sz w:val="24"/>
      <w:szCs w:val="24"/>
    </w:rPr>
  </w:style>
  <w:style w:type="paragraph" w:styleId="Heading2">
    <w:name w:val="heading 2"/>
    <w:basedOn w:val="Normal"/>
    <w:next w:val="Normal"/>
    <w:link w:val="Heading2Char"/>
    <w:autoRedefine/>
    <w:uiPriority w:val="9"/>
    <w:semiHidden/>
    <w:unhideWhenUsed/>
    <w:qFormat/>
    <w:rsid w:val="00D47A0D"/>
    <w:pPr>
      <w:keepNext/>
      <w:keepLines/>
      <w:spacing w:before="40" w:line="259" w:lineRule="auto"/>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2869B1"/>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47A0D"/>
    <w:rPr>
      <w:rFonts w:ascii="Times New Roman" w:eastAsiaTheme="majorEastAsia" w:hAnsi="Times New Roman" w:cstheme="majorBidi"/>
      <w:sz w:val="24"/>
      <w:szCs w:val="26"/>
    </w:rPr>
  </w:style>
  <w:style w:type="table" w:styleId="TableGrid">
    <w:name w:val="Table Grid"/>
    <w:basedOn w:val="TableNormal"/>
    <w:uiPriority w:val="59"/>
    <w:rsid w:val="00627B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485"/>
    <w:pPr>
      <w:ind w:left="720"/>
      <w:contextualSpacing/>
    </w:pPr>
  </w:style>
  <w:style w:type="paragraph" w:styleId="Header">
    <w:name w:val="header"/>
    <w:basedOn w:val="Normal"/>
    <w:link w:val="HeaderChar"/>
    <w:uiPriority w:val="99"/>
    <w:unhideWhenUsed/>
    <w:rsid w:val="005B513B"/>
    <w:pPr>
      <w:tabs>
        <w:tab w:val="center" w:pos="4680"/>
        <w:tab w:val="right" w:pos="9360"/>
      </w:tabs>
    </w:pPr>
  </w:style>
  <w:style w:type="character" w:customStyle="1" w:styleId="HeaderChar">
    <w:name w:val="Header Char"/>
    <w:basedOn w:val="DefaultParagraphFont"/>
    <w:link w:val="Header"/>
    <w:uiPriority w:val="99"/>
    <w:rsid w:val="005B513B"/>
    <w:rPr>
      <w:rFonts w:ascii="Times New Roman" w:hAnsi="Times New Roman" w:cs="Times New Roman"/>
      <w:sz w:val="24"/>
      <w:szCs w:val="24"/>
    </w:rPr>
  </w:style>
  <w:style w:type="paragraph" w:styleId="Footer">
    <w:name w:val="footer"/>
    <w:basedOn w:val="Normal"/>
    <w:link w:val="FooterChar"/>
    <w:uiPriority w:val="99"/>
    <w:unhideWhenUsed/>
    <w:rsid w:val="005B513B"/>
    <w:pPr>
      <w:tabs>
        <w:tab w:val="center" w:pos="4680"/>
        <w:tab w:val="right" w:pos="9360"/>
      </w:tabs>
    </w:pPr>
  </w:style>
  <w:style w:type="character" w:customStyle="1" w:styleId="FooterChar">
    <w:name w:val="Footer Char"/>
    <w:basedOn w:val="DefaultParagraphFont"/>
    <w:link w:val="Footer"/>
    <w:uiPriority w:val="99"/>
    <w:rsid w:val="005B513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E0EC5"/>
    <w:rPr>
      <w:rFonts w:ascii="Tahoma" w:hAnsi="Tahoma" w:cs="Tahoma"/>
      <w:sz w:val="16"/>
      <w:szCs w:val="16"/>
    </w:rPr>
  </w:style>
  <w:style w:type="character" w:customStyle="1" w:styleId="BalloonTextChar">
    <w:name w:val="Balloon Text Char"/>
    <w:basedOn w:val="DefaultParagraphFont"/>
    <w:link w:val="BalloonText"/>
    <w:uiPriority w:val="99"/>
    <w:semiHidden/>
    <w:rsid w:val="009E0EC5"/>
    <w:rPr>
      <w:rFonts w:ascii="Tahoma" w:hAnsi="Tahoma" w:cs="Tahoma"/>
      <w:sz w:val="16"/>
      <w:szCs w:val="16"/>
    </w:rPr>
  </w:style>
  <w:style w:type="character" w:customStyle="1" w:styleId="Heading3Char">
    <w:name w:val="Heading 3 Char"/>
    <w:basedOn w:val="DefaultParagraphFont"/>
    <w:link w:val="Heading3"/>
    <w:uiPriority w:val="9"/>
    <w:semiHidden/>
    <w:rsid w:val="002869B1"/>
    <w:rPr>
      <w:rFonts w:asciiTheme="majorHAnsi" w:eastAsiaTheme="majorEastAsia" w:hAnsiTheme="majorHAnsi" w:cstheme="majorBidi"/>
      <w:b/>
      <w:bCs/>
      <w:color w:val="5B9BD5" w:themeColor="accent1"/>
      <w:sz w:val="24"/>
      <w:szCs w:val="24"/>
    </w:rPr>
  </w:style>
  <w:style w:type="paragraph" w:styleId="NoSpacing">
    <w:name w:val="No Spacing"/>
    <w:uiPriority w:val="1"/>
    <w:qFormat/>
    <w:rsid w:val="00CD57B4"/>
    <w:pPr>
      <w:spacing w:after="0"/>
    </w:pPr>
    <w:rPr>
      <w:rFonts w:ascii="Times New Roman" w:hAnsi="Times New Roman" w:cs="Times New Roman"/>
      <w:sz w:val="24"/>
      <w:szCs w:val="24"/>
    </w:rPr>
  </w:style>
  <w:style w:type="paragraph" w:styleId="NormalWeb">
    <w:name w:val="Normal (Web)"/>
    <w:basedOn w:val="Normal"/>
    <w:uiPriority w:val="99"/>
    <w:semiHidden/>
    <w:unhideWhenUsed/>
    <w:rsid w:val="006B564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08140">
      <w:bodyDiv w:val="1"/>
      <w:marLeft w:val="0"/>
      <w:marRight w:val="0"/>
      <w:marTop w:val="0"/>
      <w:marBottom w:val="0"/>
      <w:divBdr>
        <w:top w:val="none" w:sz="0" w:space="0" w:color="auto"/>
        <w:left w:val="none" w:sz="0" w:space="0" w:color="auto"/>
        <w:bottom w:val="none" w:sz="0" w:space="0" w:color="auto"/>
        <w:right w:val="none" w:sz="0" w:space="0" w:color="auto"/>
      </w:divBdr>
    </w:div>
    <w:div w:id="268977242">
      <w:bodyDiv w:val="1"/>
      <w:marLeft w:val="0"/>
      <w:marRight w:val="0"/>
      <w:marTop w:val="0"/>
      <w:marBottom w:val="0"/>
      <w:divBdr>
        <w:top w:val="none" w:sz="0" w:space="0" w:color="auto"/>
        <w:left w:val="none" w:sz="0" w:space="0" w:color="auto"/>
        <w:bottom w:val="none" w:sz="0" w:space="0" w:color="auto"/>
        <w:right w:val="none" w:sz="0" w:space="0" w:color="auto"/>
      </w:divBdr>
    </w:div>
    <w:div w:id="424307029">
      <w:bodyDiv w:val="1"/>
      <w:marLeft w:val="0"/>
      <w:marRight w:val="0"/>
      <w:marTop w:val="0"/>
      <w:marBottom w:val="0"/>
      <w:divBdr>
        <w:top w:val="none" w:sz="0" w:space="0" w:color="auto"/>
        <w:left w:val="none" w:sz="0" w:space="0" w:color="auto"/>
        <w:bottom w:val="none" w:sz="0" w:space="0" w:color="auto"/>
        <w:right w:val="none" w:sz="0" w:space="0" w:color="auto"/>
      </w:divBdr>
    </w:div>
    <w:div w:id="540633395">
      <w:bodyDiv w:val="1"/>
      <w:marLeft w:val="0"/>
      <w:marRight w:val="0"/>
      <w:marTop w:val="0"/>
      <w:marBottom w:val="0"/>
      <w:divBdr>
        <w:top w:val="none" w:sz="0" w:space="0" w:color="auto"/>
        <w:left w:val="none" w:sz="0" w:space="0" w:color="auto"/>
        <w:bottom w:val="none" w:sz="0" w:space="0" w:color="auto"/>
        <w:right w:val="none" w:sz="0" w:space="0" w:color="auto"/>
      </w:divBdr>
    </w:div>
    <w:div w:id="673071856">
      <w:bodyDiv w:val="1"/>
      <w:marLeft w:val="0"/>
      <w:marRight w:val="0"/>
      <w:marTop w:val="0"/>
      <w:marBottom w:val="0"/>
      <w:divBdr>
        <w:top w:val="none" w:sz="0" w:space="0" w:color="auto"/>
        <w:left w:val="none" w:sz="0" w:space="0" w:color="auto"/>
        <w:bottom w:val="none" w:sz="0" w:space="0" w:color="auto"/>
        <w:right w:val="none" w:sz="0" w:space="0" w:color="auto"/>
      </w:divBdr>
      <w:divsChild>
        <w:div w:id="620039324">
          <w:marLeft w:val="0"/>
          <w:marRight w:val="0"/>
          <w:marTop w:val="0"/>
          <w:marBottom w:val="0"/>
          <w:divBdr>
            <w:top w:val="none" w:sz="0" w:space="0" w:color="auto"/>
            <w:left w:val="none" w:sz="0" w:space="0" w:color="auto"/>
            <w:bottom w:val="none" w:sz="0" w:space="0" w:color="auto"/>
            <w:right w:val="none" w:sz="0" w:space="0" w:color="auto"/>
          </w:divBdr>
          <w:divsChild>
            <w:div w:id="1713768593">
              <w:marLeft w:val="0"/>
              <w:marRight w:val="0"/>
              <w:marTop w:val="0"/>
              <w:marBottom w:val="0"/>
              <w:divBdr>
                <w:top w:val="none" w:sz="0" w:space="0" w:color="auto"/>
                <w:left w:val="none" w:sz="0" w:space="0" w:color="auto"/>
                <w:bottom w:val="none" w:sz="0" w:space="0" w:color="auto"/>
                <w:right w:val="none" w:sz="0" w:space="0" w:color="auto"/>
              </w:divBdr>
              <w:divsChild>
                <w:div w:id="1795909149">
                  <w:marLeft w:val="0"/>
                  <w:marRight w:val="0"/>
                  <w:marTop w:val="0"/>
                  <w:marBottom w:val="0"/>
                  <w:divBdr>
                    <w:top w:val="none" w:sz="0" w:space="0" w:color="auto"/>
                    <w:left w:val="none" w:sz="0" w:space="0" w:color="auto"/>
                    <w:bottom w:val="none" w:sz="0" w:space="0" w:color="auto"/>
                    <w:right w:val="none" w:sz="0" w:space="0" w:color="auto"/>
                  </w:divBdr>
                </w:div>
                <w:div w:id="1939097781">
                  <w:marLeft w:val="0"/>
                  <w:marRight w:val="0"/>
                  <w:marTop w:val="0"/>
                  <w:marBottom w:val="0"/>
                  <w:divBdr>
                    <w:top w:val="none" w:sz="0" w:space="0" w:color="auto"/>
                    <w:left w:val="none" w:sz="0" w:space="0" w:color="auto"/>
                    <w:bottom w:val="none" w:sz="0" w:space="0" w:color="auto"/>
                    <w:right w:val="none" w:sz="0" w:space="0" w:color="auto"/>
                  </w:divBdr>
                  <w:divsChild>
                    <w:div w:id="19095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2238">
          <w:marLeft w:val="0"/>
          <w:marRight w:val="0"/>
          <w:marTop w:val="0"/>
          <w:marBottom w:val="0"/>
          <w:divBdr>
            <w:top w:val="none" w:sz="0" w:space="0" w:color="auto"/>
            <w:left w:val="none" w:sz="0" w:space="0" w:color="auto"/>
            <w:bottom w:val="none" w:sz="0" w:space="0" w:color="auto"/>
            <w:right w:val="none" w:sz="0" w:space="0" w:color="auto"/>
          </w:divBdr>
          <w:divsChild>
            <w:div w:id="60953049">
              <w:marLeft w:val="0"/>
              <w:marRight w:val="0"/>
              <w:marTop w:val="0"/>
              <w:marBottom w:val="0"/>
              <w:divBdr>
                <w:top w:val="none" w:sz="0" w:space="0" w:color="auto"/>
                <w:left w:val="none" w:sz="0" w:space="0" w:color="auto"/>
                <w:bottom w:val="none" w:sz="0" w:space="0" w:color="auto"/>
                <w:right w:val="none" w:sz="0" w:space="0" w:color="auto"/>
              </w:divBdr>
              <w:divsChild>
                <w:div w:id="1639454895">
                  <w:marLeft w:val="0"/>
                  <w:marRight w:val="0"/>
                  <w:marTop w:val="0"/>
                  <w:marBottom w:val="0"/>
                  <w:divBdr>
                    <w:top w:val="none" w:sz="0" w:space="0" w:color="auto"/>
                    <w:left w:val="none" w:sz="0" w:space="0" w:color="auto"/>
                    <w:bottom w:val="none" w:sz="0" w:space="0" w:color="auto"/>
                    <w:right w:val="none" w:sz="0" w:space="0" w:color="auto"/>
                  </w:divBdr>
                  <w:divsChild>
                    <w:div w:id="9852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278">
              <w:marLeft w:val="0"/>
              <w:marRight w:val="0"/>
              <w:marTop w:val="0"/>
              <w:marBottom w:val="0"/>
              <w:divBdr>
                <w:top w:val="none" w:sz="0" w:space="0" w:color="auto"/>
                <w:left w:val="none" w:sz="0" w:space="0" w:color="auto"/>
                <w:bottom w:val="none" w:sz="0" w:space="0" w:color="auto"/>
                <w:right w:val="none" w:sz="0" w:space="0" w:color="auto"/>
              </w:divBdr>
              <w:divsChild>
                <w:div w:id="24716436">
                  <w:marLeft w:val="0"/>
                  <w:marRight w:val="0"/>
                  <w:marTop w:val="0"/>
                  <w:marBottom w:val="0"/>
                  <w:divBdr>
                    <w:top w:val="none" w:sz="0" w:space="0" w:color="auto"/>
                    <w:left w:val="none" w:sz="0" w:space="0" w:color="auto"/>
                    <w:bottom w:val="none" w:sz="0" w:space="0" w:color="auto"/>
                    <w:right w:val="none" w:sz="0" w:space="0" w:color="auto"/>
                  </w:divBdr>
                  <w:divsChild>
                    <w:div w:id="1358577047">
                      <w:marLeft w:val="0"/>
                      <w:marRight w:val="0"/>
                      <w:marTop w:val="0"/>
                      <w:marBottom w:val="0"/>
                      <w:divBdr>
                        <w:top w:val="none" w:sz="0" w:space="0" w:color="auto"/>
                        <w:left w:val="none" w:sz="0" w:space="0" w:color="auto"/>
                        <w:bottom w:val="none" w:sz="0" w:space="0" w:color="auto"/>
                        <w:right w:val="none" w:sz="0" w:space="0" w:color="auto"/>
                      </w:divBdr>
                    </w:div>
                    <w:div w:id="647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2294">
              <w:marLeft w:val="0"/>
              <w:marRight w:val="0"/>
              <w:marTop w:val="0"/>
              <w:marBottom w:val="0"/>
              <w:divBdr>
                <w:top w:val="none" w:sz="0" w:space="0" w:color="auto"/>
                <w:left w:val="none" w:sz="0" w:space="0" w:color="auto"/>
                <w:bottom w:val="none" w:sz="0" w:space="0" w:color="auto"/>
                <w:right w:val="none" w:sz="0" w:space="0" w:color="auto"/>
              </w:divBdr>
              <w:divsChild>
                <w:div w:id="906035349">
                  <w:marLeft w:val="0"/>
                  <w:marRight w:val="0"/>
                  <w:marTop w:val="0"/>
                  <w:marBottom w:val="0"/>
                  <w:divBdr>
                    <w:top w:val="none" w:sz="0" w:space="0" w:color="auto"/>
                    <w:left w:val="none" w:sz="0" w:space="0" w:color="auto"/>
                    <w:bottom w:val="none" w:sz="0" w:space="0" w:color="auto"/>
                    <w:right w:val="none" w:sz="0" w:space="0" w:color="auto"/>
                  </w:divBdr>
                  <w:divsChild>
                    <w:div w:id="17761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4763">
      <w:bodyDiv w:val="1"/>
      <w:marLeft w:val="0"/>
      <w:marRight w:val="0"/>
      <w:marTop w:val="0"/>
      <w:marBottom w:val="0"/>
      <w:divBdr>
        <w:top w:val="none" w:sz="0" w:space="0" w:color="auto"/>
        <w:left w:val="none" w:sz="0" w:space="0" w:color="auto"/>
        <w:bottom w:val="none" w:sz="0" w:space="0" w:color="auto"/>
        <w:right w:val="none" w:sz="0" w:space="0" w:color="auto"/>
      </w:divBdr>
    </w:div>
    <w:div w:id="1290478416">
      <w:bodyDiv w:val="1"/>
      <w:marLeft w:val="0"/>
      <w:marRight w:val="0"/>
      <w:marTop w:val="0"/>
      <w:marBottom w:val="0"/>
      <w:divBdr>
        <w:top w:val="none" w:sz="0" w:space="0" w:color="auto"/>
        <w:left w:val="none" w:sz="0" w:space="0" w:color="auto"/>
        <w:bottom w:val="none" w:sz="0" w:space="0" w:color="auto"/>
        <w:right w:val="none" w:sz="0" w:space="0" w:color="auto"/>
      </w:divBdr>
    </w:div>
    <w:div w:id="1550259479">
      <w:bodyDiv w:val="1"/>
      <w:marLeft w:val="0"/>
      <w:marRight w:val="0"/>
      <w:marTop w:val="0"/>
      <w:marBottom w:val="0"/>
      <w:divBdr>
        <w:top w:val="none" w:sz="0" w:space="0" w:color="auto"/>
        <w:left w:val="none" w:sz="0" w:space="0" w:color="auto"/>
        <w:bottom w:val="none" w:sz="0" w:space="0" w:color="auto"/>
        <w:right w:val="none" w:sz="0" w:space="0" w:color="auto"/>
      </w:divBdr>
    </w:div>
    <w:div w:id="157150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54C3F65-1E2C-4D2E-82E3-D38D8F0D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Florida International University</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Donnie Hale Jr</dc:creator>
  <cp:lastModifiedBy>Sally Zamudio</cp:lastModifiedBy>
  <cp:revision>3</cp:revision>
  <cp:lastPrinted>2018-07-20T16:18:00Z</cp:lastPrinted>
  <dcterms:created xsi:type="dcterms:W3CDTF">2018-07-25T18:50:00Z</dcterms:created>
  <dcterms:modified xsi:type="dcterms:W3CDTF">2018-07-26T16:15:00Z</dcterms:modified>
</cp:coreProperties>
</file>